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8964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4761"/>
      <w:r>
        <w:rPr>
          <w:rFonts w:hint="eastAsia"/>
          <w:lang w:val="en-US" w:eastAsia="zh-CN"/>
        </w:rPr>
        <w:t>服务台应用情况说明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5496"/>
      <w:r>
        <w:rPr>
          <w:rFonts w:hint="eastAsia"/>
          <w:lang w:val="en-US" w:eastAsia="zh-CN"/>
        </w:rPr>
        <w:t>（YNTD-ITSS-0810）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6627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28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86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999F2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AC648D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_Toc8964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_Toc8964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9D7A35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_Toc24761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2F950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（YNTD-ITSS-0810）</w:t>
          </w:r>
          <w:r>
            <w:tab/>
          </w:r>
          <w:r>
            <w:fldChar w:fldCharType="begin"/>
          </w:r>
          <w:r>
            <w:instrText xml:space="preserve"> PAGEREF _Toc25496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411B7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_Toc16627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_Toc16627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641A1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_Toc26926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服务台职责</w:t>
          </w:r>
          <w:r>
            <w:tab/>
          </w:r>
          <w:r>
            <w:fldChar w:fldCharType="begin"/>
          </w:r>
          <w:r>
            <w:instrText xml:space="preserve"> PAGEREF _Toc26926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AC0B9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_Toc6411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服务职责概述</w:t>
          </w:r>
          <w:r>
            <w:tab/>
          </w:r>
          <w:r>
            <w:fldChar w:fldCharType="begin"/>
          </w:r>
          <w:r>
            <w:instrText xml:space="preserve"> PAGEREF _Toc6411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C3C30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_Toc4987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服务模式概述</w:t>
          </w:r>
          <w:r>
            <w:tab/>
          </w:r>
          <w:r>
            <w:fldChar w:fldCharType="begin"/>
          </w:r>
          <w:r>
            <w:instrText xml:space="preserve"> PAGEREF _Toc4987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24787F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_Toc15106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工具与记录</w:t>
          </w:r>
          <w:r>
            <w:tab/>
          </w:r>
          <w:r>
            <w:fldChar w:fldCharType="begin"/>
          </w:r>
          <w:r>
            <w:instrText xml:space="preserve"> PAGEREF _Toc15106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A48DB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_Toc8473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I6000信息通信客服系统</w:t>
          </w:r>
          <w:r>
            <w:tab/>
          </w:r>
          <w:r>
            <w:fldChar w:fldCharType="begin"/>
          </w:r>
          <w:r>
            <w:instrText xml:space="preserve"> PAGEREF _Toc8473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3BB94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_Toc13631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_Toc13631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1187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_Toc20540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监督与管理</w:t>
          </w:r>
          <w:r>
            <w:tab/>
          </w:r>
          <w:r>
            <w:fldChar w:fldCharType="begin"/>
          </w:r>
          <w:r>
            <w:instrText xml:space="preserve"> PAGEREF _Toc20540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3E52C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服务台工作情况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1C514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_Toc21036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服务热线工作情况</w:t>
          </w:r>
          <w:r>
            <w:tab/>
          </w:r>
          <w:r>
            <w:fldChar w:fldCharType="begin"/>
          </w:r>
          <w:r>
            <w:instrText xml:space="preserve"> PAGEREF _Toc21036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0CB0A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_Toc19447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即时通讯渠道</w:t>
          </w:r>
          <w:r>
            <w:tab/>
          </w:r>
          <w:r>
            <w:fldChar w:fldCharType="begin"/>
          </w:r>
          <w:r>
            <w:instrText xml:space="preserve"> PAGEREF _Toc19447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7E281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KPI完成情况</w:t>
          </w:r>
          <w:r>
            <w:tab/>
          </w:r>
          <w:r>
            <w:fldChar w:fldCharType="begin"/>
          </w:r>
          <w:r>
            <w:instrText xml:space="preserve"> PAGEREF _Toc3975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6F18EF">
          <w:r>
            <w:fldChar w:fldCharType="end"/>
          </w:r>
        </w:p>
      </w:sdtContent>
    </w:sdt>
    <w:p w14:paraId="109FD1F5"/>
    <w:p w14:paraId="0D427708">
      <w:r>
        <w:br w:type="page"/>
      </w:r>
    </w:p>
    <w:p w14:paraId="6B19542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6926"/>
      <w:r>
        <w:t>服务台职责</w:t>
      </w:r>
      <w:bookmarkEnd w:id="4"/>
    </w:p>
    <w:p w14:paraId="7ABFAD0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6411"/>
      <w:r>
        <w:t>服务职责概述</w:t>
      </w:r>
      <w:bookmarkEnd w:id="5"/>
    </w:p>
    <w:p w14:paraId="077C43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主要</w:t>
      </w:r>
      <w:r>
        <w:rPr>
          <w:rFonts w:hint="eastAsia"/>
          <w:lang w:val="en-US" w:eastAsia="zh-CN"/>
        </w:rPr>
        <w:t>工作内容如下：</w:t>
      </w:r>
    </w:p>
    <w:p w14:paraId="17CB36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lang w:val="en-US" w:eastAsia="zh-CN"/>
        </w:rPr>
      </w:pPr>
      <w:r>
        <w:rPr>
          <w:lang w:val="en-US" w:eastAsia="zh-CN"/>
        </w:rPr>
        <w:t>受理公司ERP、门户目录、协同办公、生产管理、营销类等各类信息系统的业务应用问题；</w:t>
      </w:r>
    </w:p>
    <w:p w14:paraId="2243B8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负责省公司本部行政电话查号、报装、维修以及桌面终端和网络的使用问题处理。</w:t>
      </w:r>
    </w:p>
    <w:p w14:paraId="7A14AC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完成相关数据统计任务，为系统稳定运行提供支撑。</w:t>
      </w:r>
    </w:p>
    <w:p w14:paraId="0F0573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4987"/>
      <w:r>
        <w:t>服务模式概述</w:t>
      </w:r>
      <w:bookmarkEnd w:id="6"/>
    </w:p>
    <w:p w14:paraId="217D17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服务台</w:t>
      </w:r>
      <w:r>
        <w:rPr>
          <w:lang w:val="en-US" w:eastAsia="zh-CN"/>
        </w:rPr>
        <w:t>实行“7×24小时服务响应+5×8小时值班”的双重保障制度，通过电话、邮件、客服网站等多渠道受理信息通信用户的服务请求。非工作时日，由应急坐席（通常为监控组值班员）专门对接客户的紧急业务需求，确保服务不中断。</w:t>
      </w:r>
    </w:p>
    <w:p w14:paraId="58BC8D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针对客户来电，系统会依据服务请求的业务类别，通过语音导航与自动识别功能，精准引导至对应业务坐席，由</w:t>
      </w: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进行受理与解答。若坐席无法直接解决问题，将以派发工单的形式转交二线运维人员处理，并同步跟踪运维结果，及时反馈给客户，形成“受理-处理-反馈”的闭环管理。对于客户桌面终端的服务请求，系统则会引导至各公司远程坐席进行专属受理。</w:t>
      </w:r>
    </w:p>
    <w:p w14:paraId="46C75B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实行7×24小时不间断值班制度，采用四班二运转模式，每班配置信息、通信值班员各1名。值班员通过实时监视与周期巡视相结合的方式，及时捕捉系统异常情况并第一时间告知值长；在值长的监督指导下，开展业务影响情况核查、通知上传下达及数据统计分析等后续工作。</w:t>
      </w:r>
    </w:p>
    <w:p w14:paraId="65FF056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5106"/>
      <w:bookmarkStart w:id="8" w:name="heading_5"/>
      <w:r>
        <w:t>工具与记录</w:t>
      </w:r>
      <w:bookmarkEnd w:id="7"/>
      <w:bookmarkEnd w:id="8"/>
    </w:p>
    <w:p w14:paraId="09AA8C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服务台日常运营依赖专业工具平台支撑，核心工具及用途如下：</w:t>
      </w:r>
    </w:p>
    <w:p w14:paraId="4232706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8473"/>
      <w:r>
        <w:t>I6000信息通信客服系统</w:t>
      </w:r>
      <w:bookmarkEnd w:id="9"/>
    </w:p>
    <w:p w14:paraId="392EDD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为公司客服人员专用工具，主要用于记录通话数据、客户基础信息、问题申告内容、事件处理小结等关键信息。该系统支持导出各类统计数据报表，是监督热线服务质量、评估工作成效的核心依据。</w:t>
      </w:r>
    </w:p>
    <w:p w14:paraId="1056F4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13631"/>
      <w:r>
        <w:rPr>
          <w:rFonts w:hint="eastAsia"/>
          <w:lang w:val="en-US" w:eastAsia="zh-CN"/>
        </w:rPr>
        <w:t>服务知识</w:t>
      </w:r>
      <w:bookmarkEnd w:id="10"/>
    </w:p>
    <w:p w14:paraId="12DF30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依据标准化文档架构搭建，具备个人首页展示、知识目录分类、知识批量导入、知识点精准检索、知识公告维护等功能，为坐席人员提供高效的知识查询与支撑服务，助力问题快速解决。</w:t>
      </w:r>
    </w:p>
    <w:p w14:paraId="0C13A88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0540"/>
      <w:bookmarkStart w:id="12" w:name="heading_6"/>
      <w:r>
        <w:t>监督与管理</w:t>
      </w:r>
      <w:bookmarkEnd w:id="11"/>
      <w:bookmarkEnd w:id="12"/>
    </w:p>
    <w:p w14:paraId="2AB9A8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服务台不仅是运维服务的前端窗口，更是运维服务能力与质量管理的关键环节，其在运维管控中的作用主要体现在以下方面：</w:t>
      </w:r>
    </w:p>
    <w:p w14:paraId="291720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全程监控事件处理进程，通过及时协调技术、人力等各方资源，有效缩短事件解决周期，提升服务效率。</w:t>
      </w:r>
    </w:p>
    <w:p w14:paraId="01D4A0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系统收集与统计运维服务能力指标数据，主动与客户就指标达成情况进行沟通，并将数据作为运维服务绩效考核的核心依据。</w:t>
      </w:r>
    </w:p>
    <w:p w14:paraId="03FAA3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针对绩效考核结果中不理想的指标，组织客户、运维团队开展联合分析，精准定位问题根源，提出针对性改进措施或设立专项改进任务，并推动落地实施。</w:t>
      </w:r>
    </w:p>
    <w:p w14:paraId="3AEEE5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跟踪改进措施的执行结果，完成效果确认与经验总结，同时组织开展经验巩固与推广工作，实现运维服务能力的持续提升。</w:t>
      </w:r>
    </w:p>
    <w:p w14:paraId="60CADCD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7"/>
      <w:bookmarkStart w:id="14" w:name="_Toc14568"/>
      <w:r>
        <w:t>服务台工作情况</w:t>
      </w:r>
      <w:bookmarkEnd w:id="13"/>
      <w:bookmarkEnd w:id="14"/>
    </w:p>
    <w:p w14:paraId="6266FE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10月</w:t>
      </w:r>
      <w:r>
        <w:t>，服务台围绕客户需求扎实开展工作，各项工作指标表现良好，具体情况如下：</w:t>
      </w:r>
    </w:p>
    <w:p w14:paraId="58D36DF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8"/>
      <w:bookmarkStart w:id="16" w:name="_Toc21036"/>
      <w:r>
        <w:t>服务热线工作情况</w:t>
      </w:r>
      <w:bookmarkEnd w:id="15"/>
      <w:bookmarkEnd w:id="16"/>
    </w:p>
    <w:p w14:paraId="056DC5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累计受理客户各类申告、咨询735件，首次解决率平均达81.33%，处理完成率100%，实现问题“件件有回音、事事有着落”。</w:t>
      </w:r>
    </w:p>
    <w:p w14:paraId="2BDE14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话务台20秒接听率达99.07%，有效避免客户长时间等待。</w:t>
      </w:r>
    </w:p>
    <w:p w14:paraId="0F02B9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截止目前</w:t>
      </w:r>
      <w:r>
        <w:t>受理到客户投诉，客户满意度保持高位，服务质量获得认可。</w:t>
      </w:r>
    </w:p>
    <w:p w14:paraId="5C70351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9"/>
      <w:bookmarkStart w:id="18" w:name="_Toc19447"/>
      <w:r>
        <w:t>即时通讯渠道</w:t>
      </w:r>
      <w:bookmarkEnd w:id="17"/>
      <w:bookmarkEnd w:id="18"/>
    </w:p>
    <w:p w14:paraId="794259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通过即时通讯渠道受理各类客户申告</w:t>
      </w:r>
      <w:r>
        <w:rPr>
          <w:rFonts w:hint="eastAsia"/>
          <w:lang w:val="en-US" w:eastAsia="zh-CN"/>
        </w:rPr>
        <w:t>200</w:t>
      </w:r>
      <w:r>
        <w:t>单，其中操作咨询类问题占比7</w:t>
      </w:r>
      <w:r>
        <w:rPr>
          <w:rFonts w:hint="eastAsia"/>
          <w:lang w:val="en-US" w:eastAsia="zh-CN"/>
        </w:rPr>
        <w:t>0</w:t>
      </w:r>
      <w:r>
        <w:t>%，反映出客户对系统操作指导的需求较为集中，为后续</w:t>
      </w:r>
      <w:r>
        <w:rPr>
          <w:rFonts w:hint="eastAsia"/>
          <w:lang w:val="en-US" w:eastAsia="zh-CN"/>
        </w:rPr>
        <w:t>服务知识</w:t>
      </w:r>
      <w:r>
        <w:t>优化与针对性培训提供了方向。</w:t>
      </w:r>
    </w:p>
    <w:p w14:paraId="4284C049">
      <w:pPr>
        <w:pStyle w:val="30"/>
        <w:bidi w:val="0"/>
        <w:rPr>
          <w:rFonts w:hint="eastAsia"/>
          <w:lang w:val="en-US" w:eastAsia="zh-CN"/>
        </w:rPr>
      </w:pPr>
      <w:bookmarkStart w:id="19" w:name="_Toc3975"/>
      <w:r>
        <w:rPr>
          <w:rFonts w:hint="eastAsia"/>
          <w:lang w:val="en-US" w:eastAsia="zh-CN"/>
        </w:rPr>
        <w:t>KPI完成情况</w:t>
      </w:r>
      <w:bookmarkEnd w:id="19"/>
    </w:p>
    <w:p w14:paraId="45F7D4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据统计1-10月份的服务台事件共420件，回访420件，回访率达到100%，满足KPI指标要求的服务台回访率≥95%的指标。</w:t>
      </w:r>
    </w:p>
    <w:p w14:paraId="66782A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统计第一、二和三季度的服务台派单成功率得出，派单成功率分别是95%、100%、100%。满足KPI指标要求的每季度</w:t>
      </w:r>
      <w:r>
        <w:rPr>
          <w:spacing w:val="-3"/>
          <w:sz w:val="24"/>
          <w:szCs w:val="24"/>
        </w:rPr>
        <w:t>服务台派单成功</w:t>
      </w:r>
      <w:r>
        <w:rPr>
          <w:sz w:val="24"/>
          <w:szCs w:val="24"/>
        </w:rPr>
        <w:t>率</w:t>
      </w:r>
      <w:r>
        <w:rPr>
          <w:rFonts w:hint="eastAsia"/>
          <w:lang w:val="en-US" w:eastAsia="zh-CN"/>
        </w:rPr>
        <w:t>≥95%的指标并且呈上升趋势。</w:t>
      </w:r>
      <w:bookmarkStart w:id="20" w:name="_GoBack"/>
      <w:bookmarkEnd w:id="20"/>
    </w:p>
    <w:p w14:paraId="7F9B75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7D71DE"/>
    <w:rsid w:val="028440C8"/>
    <w:rsid w:val="03431E67"/>
    <w:rsid w:val="03814846"/>
    <w:rsid w:val="04051239"/>
    <w:rsid w:val="05B95683"/>
    <w:rsid w:val="0A2F0DBE"/>
    <w:rsid w:val="0B2E5519"/>
    <w:rsid w:val="0D756CF7"/>
    <w:rsid w:val="0E4B1F3E"/>
    <w:rsid w:val="0E6D0107"/>
    <w:rsid w:val="10DB1C9F"/>
    <w:rsid w:val="114208BC"/>
    <w:rsid w:val="117A036C"/>
    <w:rsid w:val="128E7347"/>
    <w:rsid w:val="136C3AC7"/>
    <w:rsid w:val="137D703E"/>
    <w:rsid w:val="14891A12"/>
    <w:rsid w:val="15393438"/>
    <w:rsid w:val="157A28AF"/>
    <w:rsid w:val="15827827"/>
    <w:rsid w:val="15D171CD"/>
    <w:rsid w:val="15E056A4"/>
    <w:rsid w:val="17E05DED"/>
    <w:rsid w:val="194F441F"/>
    <w:rsid w:val="19C05DE0"/>
    <w:rsid w:val="1A9A6727"/>
    <w:rsid w:val="1AC11F06"/>
    <w:rsid w:val="1B2B3823"/>
    <w:rsid w:val="1B972C67"/>
    <w:rsid w:val="1BBC447B"/>
    <w:rsid w:val="1C4C39E7"/>
    <w:rsid w:val="1CFA34AD"/>
    <w:rsid w:val="22854C5B"/>
    <w:rsid w:val="229972C4"/>
    <w:rsid w:val="24262DDA"/>
    <w:rsid w:val="26976211"/>
    <w:rsid w:val="295F4405"/>
    <w:rsid w:val="2A06770B"/>
    <w:rsid w:val="2AC375D4"/>
    <w:rsid w:val="2B7D22D9"/>
    <w:rsid w:val="2CD31625"/>
    <w:rsid w:val="2FC260AC"/>
    <w:rsid w:val="2FCA02A2"/>
    <w:rsid w:val="34045ED7"/>
    <w:rsid w:val="34914381"/>
    <w:rsid w:val="36DF7544"/>
    <w:rsid w:val="37EB016A"/>
    <w:rsid w:val="3ABB02C8"/>
    <w:rsid w:val="3C0D4B53"/>
    <w:rsid w:val="3CC33464"/>
    <w:rsid w:val="3E7C7B27"/>
    <w:rsid w:val="3F262663"/>
    <w:rsid w:val="3F493A54"/>
    <w:rsid w:val="45576E3F"/>
    <w:rsid w:val="46E26BDC"/>
    <w:rsid w:val="47060B1D"/>
    <w:rsid w:val="476F0470"/>
    <w:rsid w:val="480956EA"/>
    <w:rsid w:val="490E1316"/>
    <w:rsid w:val="496970CF"/>
    <w:rsid w:val="4BA377DA"/>
    <w:rsid w:val="4D495A2D"/>
    <w:rsid w:val="4E055FC0"/>
    <w:rsid w:val="4F2935FA"/>
    <w:rsid w:val="4F3501F1"/>
    <w:rsid w:val="4F5C39D0"/>
    <w:rsid w:val="50AF18DD"/>
    <w:rsid w:val="51256043"/>
    <w:rsid w:val="52416EAD"/>
    <w:rsid w:val="52707792"/>
    <w:rsid w:val="52C5188C"/>
    <w:rsid w:val="53B316E5"/>
    <w:rsid w:val="55052414"/>
    <w:rsid w:val="57144B90"/>
    <w:rsid w:val="58733B38"/>
    <w:rsid w:val="591075D9"/>
    <w:rsid w:val="5ADC3C17"/>
    <w:rsid w:val="5DB6074F"/>
    <w:rsid w:val="5E8B1BDC"/>
    <w:rsid w:val="60001B6F"/>
    <w:rsid w:val="60E530F9"/>
    <w:rsid w:val="660C5ECE"/>
    <w:rsid w:val="660D1128"/>
    <w:rsid w:val="670C7704"/>
    <w:rsid w:val="67780823"/>
    <w:rsid w:val="67D0065F"/>
    <w:rsid w:val="68ED228A"/>
    <w:rsid w:val="6A2D7FEB"/>
    <w:rsid w:val="6A5F5CCB"/>
    <w:rsid w:val="6A955B90"/>
    <w:rsid w:val="6B277883"/>
    <w:rsid w:val="6D064B23"/>
    <w:rsid w:val="6D8E67CD"/>
    <w:rsid w:val="6E8B3532"/>
    <w:rsid w:val="6EB63269"/>
    <w:rsid w:val="6F7C0E99"/>
    <w:rsid w:val="73090EC9"/>
    <w:rsid w:val="73272669"/>
    <w:rsid w:val="74542618"/>
    <w:rsid w:val="75C4732A"/>
    <w:rsid w:val="76BB072D"/>
    <w:rsid w:val="778E6DEC"/>
    <w:rsid w:val="77BC0FEE"/>
    <w:rsid w:val="78BC0E70"/>
    <w:rsid w:val="79314CD6"/>
    <w:rsid w:val="7C1F350C"/>
    <w:rsid w:val="7CB67090"/>
    <w:rsid w:val="7D741635"/>
    <w:rsid w:val="7D8B70AB"/>
    <w:rsid w:val="7E543940"/>
    <w:rsid w:val="7EA366EB"/>
    <w:rsid w:val="7F584CE9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1600</Words>
  <Characters>1785</Characters>
  <Lines>0</Lines>
  <Paragraphs>0</Paragraphs>
  <TotalTime>0</TotalTime>
  <ScaleCrop>false</ScaleCrop>
  <LinksUpToDate>false</LinksUpToDate>
  <CharactersWithSpaces>1841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2025-12-17T22:16:19Z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A7B0DB8F1B344033B028922772E6E9C0_13</vt:lpwstr>
  </property>
  <property fmtid="{D5CDD505-2E9C-101B-9397-08002B2CF9AE}" pid="4" name="KSOTemplateDocerSaveRecord">
    <vt:lpwstr>eyJoZGlkIjoiMDY5NmFjMmM4ZTljMGJiZDAxN2JmYTc0NGI0NmFiNDgiLCJ1c2VySWQiOiIxMDc1MzgyOSJ9</vt:lpwstr>
  </property>
</Properties>
</file>