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6FA79">
      <w:pPr>
        <w:pStyle w:val="24"/>
        <w:keepNext w:val="0"/>
        <w:keepLines w:val="0"/>
        <w:pageBreakBefore w:val="0"/>
        <w:widowControl w:val="0"/>
        <w:kinsoku w:val="0"/>
        <w:wordWrap/>
        <w:overflowPunct/>
        <w:topLinePunct w:val="0"/>
        <w:autoSpaceDE w:val="0"/>
        <w:autoSpaceDN w:val="0"/>
        <w:bidi w:val="0"/>
        <w:adjustRightInd w:val="0"/>
        <w:snapToGrid w:val="0"/>
        <w:spacing w:before="3121" w:beforeLines="1000"/>
        <w:textAlignment w:val="baseline"/>
      </w:pPr>
      <w:bookmarkStart w:id="0" w:name="_Toc260"/>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7">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阿克苏智汇人才服务有限</w:t>
      </w:r>
      <w:r>
        <w:t>公司</w:t>
      </w:r>
      <w:bookmarkEnd w:id="0"/>
    </w:p>
    <w:p w14:paraId="1CA859AD">
      <w:pPr>
        <w:pStyle w:val="25"/>
        <w:keepNext w:val="0"/>
        <w:keepLines w:val="0"/>
        <w:pageBreakBefore w:val="0"/>
        <w:widowControl w:val="0"/>
        <w:kinsoku w:val="0"/>
        <w:wordWrap/>
        <w:overflowPunct/>
        <w:topLinePunct w:val="0"/>
        <w:autoSpaceDE w:val="0"/>
        <w:autoSpaceDN w:val="0"/>
        <w:bidi w:val="0"/>
        <w:adjustRightInd w:val="0"/>
        <w:snapToGrid w:val="0"/>
        <w:spacing w:before="0" w:after="625" w:afterLines="200"/>
        <w:textAlignment w:val="baseline"/>
        <w:rPr>
          <w:rFonts w:hint="eastAsia"/>
          <w:lang w:val="en-US" w:eastAsia="zh-CN"/>
        </w:rPr>
      </w:pPr>
      <w:bookmarkStart w:id="1" w:name="_Toc27520"/>
      <w:r>
        <w:rPr>
          <w:rFonts w:hint="eastAsia"/>
          <w:lang w:val="en-US" w:eastAsia="zh-CN"/>
        </w:rPr>
        <w:t>运维服务质量管理制度</w:t>
      </w:r>
      <w:bookmarkEnd w:id="1"/>
    </w:p>
    <w:p w14:paraId="5C99E7F3">
      <w:pPr>
        <w:keepNext w:val="0"/>
        <w:keepLines w:val="0"/>
        <w:pageBreakBefore w:val="0"/>
        <w:widowControl w:val="0"/>
        <w:kinsoku w:val="0"/>
        <w:wordWrap/>
        <w:overflowPunct/>
        <w:topLinePunct w:val="0"/>
        <w:autoSpaceDE w:val="0"/>
        <w:autoSpaceDN w:val="0"/>
        <w:bidi w:val="0"/>
        <w:adjustRightInd w:val="0"/>
        <w:snapToGrid w:val="0"/>
        <w:spacing w:after="625"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ZHRC</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16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7F44E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人力部</w:t>
            </w:r>
          </w:p>
        </w:tc>
        <w:tc>
          <w:tcPr>
            <w:tcW w:w="2708" w:type="dxa"/>
          </w:tcPr>
          <w:p w14:paraId="527A687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5E046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40D4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fitText w:val="840" w:id="1984234543"/>
                <w:vertAlign w:val="baseline"/>
                <w:lang w:val="en-US" w:eastAsia="zh-CN"/>
              </w:rPr>
              <w:t>版</w:t>
            </w:r>
            <w:r>
              <w:rPr>
                <w:rFonts w:hint="eastAsia"/>
                <w:spacing w:val="0"/>
                <w:kern w:val="0"/>
                <w:fitText w:val="840" w:id="1984234543"/>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fitText w:val="630" w:id="1331981115"/>
                <w:vertAlign w:val="baseline"/>
                <w:lang w:val="en-US" w:eastAsia="zh-CN"/>
              </w:rPr>
              <w:t>V1.</w:t>
            </w:r>
            <w:r>
              <w:rPr>
                <w:rFonts w:hint="eastAsia"/>
                <w:spacing w:val="0"/>
                <w:kern w:val="0"/>
                <w:u w:val="single"/>
                <w:fitText w:val="630" w:id="1331981115"/>
                <w:vertAlign w:val="baseline"/>
                <w:lang w:val="en-US" w:eastAsia="zh-CN"/>
              </w:rPr>
              <w:t>0</w:t>
            </w:r>
          </w:p>
        </w:tc>
        <w:tc>
          <w:tcPr>
            <w:tcW w:w="2708" w:type="dxa"/>
            <w:shd w:val="clear" w:color="auto" w:fill="auto"/>
          </w:tcPr>
          <w:p w14:paraId="36398C7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4012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9275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fitText w:val="840" w:id="722747876"/>
                <w:vertAlign w:val="baseline"/>
                <w:lang w:val="en-US" w:eastAsia="zh-CN"/>
              </w:rPr>
              <w:t>批准</w:t>
            </w:r>
            <w:r>
              <w:rPr>
                <w:rFonts w:hint="eastAsia"/>
                <w:spacing w:val="1"/>
                <w:kern w:val="0"/>
                <w:fitText w:val="840" w:id="722747876"/>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105"/>
                <w:kern w:val="0"/>
                <w:sz w:val="21"/>
                <w:u w:val="single"/>
                <w:fitText w:val="630" w:id="676873217"/>
                <w:vertAlign w:val="baseline"/>
                <w:lang w:val="en-US" w:eastAsia="zh-CN"/>
              </w:rPr>
              <w:t>任</w:t>
            </w:r>
            <w:r>
              <w:rPr>
                <w:rFonts w:hint="eastAsia" w:asciiTheme="minorAscii" w:hAnsiTheme="minorAscii" w:eastAsiaTheme="minorEastAsia"/>
                <w:spacing w:val="0"/>
                <w:kern w:val="0"/>
                <w:sz w:val="21"/>
                <w:u w:val="single"/>
                <w:fitText w:val="630" w:id="676873217"/>
                <w:vertAlign w:val="baseline"/>
                <w:lang w:val="en-US" w:eastAsia="zh-CN"/>
              </w:rPr>
              <w:t>鸿</w:t>
            </w:r>
          </w:p>
        </w:tc>
        <w:tc>
          <w:tcPr>
            <w:tcW w:w="2708" w:type="dxa"/>
          </w:tcPr>
          <w:p w14:paraId="370F750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bl>
    <w:p w14:paraId="1DEAC45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61535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544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FB3B2C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8067E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1CA80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6967C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1C0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EE12D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10AEB2A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92F32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AD95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105"/>
                <w:kern w:val="0"/>
                <w:sz w:val="21"/>
                <w:fitText w:val="630" w:id="676873217"/>
                <w:vertAlign w:val="baseline"/>
                <w:lang w:val="en-US" w:eastAsia="zh-CN"/>
              </w:rPr>
              <w:t>任</w:t>
            </w:r>
            <w:r>
              <w:rPr>
                <w:rFonts w:hint="eastAsia" w:asciiTheme="minorAscii" w:hAnsiTheme="minorAscii" w:eastAsiaTheme="minorEastAsia"/>
                <w:spacing w:val="0"/>
                <w:kern w:val="0"/>
                <w:sz w:val="21"/>
                <w:fitText w:val="630" w:id="676873217"/>
                <w:vertAlign w:val="baseline"/>
                <w:lang w:val="en-US" w:eastAsia="zh-CN"/>
              </w:rPr>
              <w:t>鸿</w:t>
            </w:r>
          </w:p>
        </w:tc>
      </w:tr>
      <w:tr w14:paraId="6E209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5F4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4662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B88D5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1492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B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A8447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8C703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970AE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C73CE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7C3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50A30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969F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4D59C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762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8E27D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6A6F98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ABEBB57">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_Toc260 </w:instrText>
          </w:r>
          <w:r>
            <w:rPr>
              <w:rFonts w:hint="eastAsia" w:ascii="宋体" w:hAnsi="宋体" w:eastAsia="宋体" w:cs="宋体"/>
              <w:szCs w:val="24"/>
            </w:rPr>
            <w:fldChar w:fldCharType="separate"/>
          </w:r>
          <w:r>
            <w:rPr>
              <w:rFonts w:hint="eastAsia"/>
              <w:lang w:val="en-US" w:eastAsia="zh-CN"/>
            </w:rPr>
            <w:t>阿克苏智汇人才服务有限</w:t>
          </w:r>
          <w:r>
            <w:t>公司</w:t>
          </w:r>
          <w:r>
            <w:tab/>
          </w:r>
          <w:r>
            <w:fldChar w:fldCharType="begin"/>
          </w:r>
          <w:r>
            <w:instrText xml:space="preserve"> PAGEREF _Toc260 \h </w:instrText>
          </w:r>
          <w:r>
            <w:fldChar w:fldCharType="separate"/>
          </w:r>
          <w:r>
            <w:t>1</w:t>
          </w:r>
          <w:r>
            <w:fldChar w:fldCharType="end"/>
          </w:r>
          <w:r>
            <w:rPr>
              <w:rFonts w:hint="eastAsia" w:ascii="宋体" w:hAnsi="宋体" w:eastAsia="宋体" w:cs="宋体"/>
              <w:szCs w:val="24"/>
            </w:rPr>
            <w:fldChar w:fldCharType="end"/>
          </w:r>
        </w:p>
        <w:p w14:paraId="4CE182B2">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_Toc27520 </w:instrText>
          </w:r>
          <w:r>
            <w:rPr>
              <w:rFonts w:hint="eastAsia" w:ascii="宋体" w:hAnsi="宋体" w:eastAsia="宋体" w:cs="宋体"/>
              <w:szCs w:val="24"/>
            </w:rPr>
            <w:fldChar w:fldCharType="separate"/>
          </w:r>
          <w:r>
            <w:rPr>
              <w:rFonts w:hint="eastAsia"/>
              <w:lang w:val="en-US" w:eastAsia="zh-CN"/>
            </w:rPr>
            <w:t>人员工作交接管理制度</w:t>
          </w:r>
          <w:r>
            <w:tab/>
          </w:r>
          <w:r>
            <w:fldChar w:fldCharType="begin"/>
          </w:r>
          <w:r>
            <w:instrText xml:space="preserve"> PAGEREF _Toc27520 \h </w:instrText>
          </w:r>
          <w:r>
            <w:fldChar w:fldCharType="separate"/>
          </w:r>
          <w:r>
            <w:t>1</w:t>
          </w:r>
          <w:r>
            <w:fldChar w:fldCharType="end"/>
          </w:r>
          <w:r>
            <w:rPr>
              <w:rFonts w:hint="eastAsia" w:ascii="宋体" w:hAnsi="宋体" w:eastAsia="宋体" w:cs="宋体"/>
              <w:szCs w:val="24"/>
            </w:rPr>
            <w:fldChar w:fldCharType="end"/>
          </w:r>
        </w:p>
        <w:p w14:paraId="782C915D">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_Toc1824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_Toc1824 \h </w:instrText>
          </w:r>
          <w:r>
            <w:fldChar w:fldCharType="separate"/>
          </w:r>
          <w:r>
            <w:t>4</w:t>
          </w:r>
          <w:r>
            <w:fldChar w:fldCharType="end"/>
          </w:r>
          <w:r>
            <w:rPr>
              <w:rFonts w:hint="eastAsia" w:ascii="宋体" w:hAnsi="宋体" w:eastAsia="宋体" w:cs="宋体"/>
              <w:szCs w:val="24"/>
            </w:rPr>
            <w:fldChar w:fldCharType="end"/>
          </w:r>
        </w:p>
        <w:p w14:paraId="379FBFB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_Toc13369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_Toc13369 \h </w:instrText>
          </w:r>
          <w:r>
            <w:fldChar w:fldCharType="separate"/>
          </w:r>
          <w:r>
            <w:t>4</w:t>
          </w:r>
          <w:r>
            <w:fldChar w:fldCharType="end"/>
          </w:r>
          <w:r>
            <w:rPr>
              <w:rFonts w:hint="eastAsia" w:ascii="宋体" w:hAnsi="宋体" w:eastAsia="宋体" w:cs="宋体"/>
              <w:szCs w:val="24"/>
            </w:rPr>
            <w:fldChar w:fldCharType="end"/>
          </w:r>
        </w:p>
        <w:p w14:paraId="03BA5005">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_Toc14707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_Toc14707 \h </w:instrText>
          </w:r>
          <w:r>
            <w:fldChar w:fldCharType="separate"/>
          </w:r>
          <w:r>
            <w:t>4</w:t>
          </w:r>
          <w:r>
            <w:fldChar w:fldCharType="end"/>
          </w:r>
          <w:r>
            <w:rPr>
              <w:rFonts w:hint="eastAsia" w:ascii="宋体" w:hAnsi="宋体" w:eastAsia="宋体" w:cs="宋体"/>
              <w:szCs w:val="24"/>
            </w:rPr>
            <w:fldChar w:fldCharType="end"/>
          </w:r>
        </w:p>
        <w:p w14:paraId="22E4BBA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_Toc7905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_Toc7905 \h </w:instrText>
          </w:r>
          <w:r>
            <w:fldChar w:fldCharType="separate"/>
          </w:r>
          <w:r>
            <w:t>4</w:t>
          </w:r>
          <w:r>
            <w:fldChar w:fldCharType="end"/>
          </w:r>
          <w:r>
            <w:rPr>
              <w:rFonts w:hint="eastAsia" w:ascii="宋体" w:hAnsi="宋体" w:eastAsia="宋体" w:cs="宋体"/>
              <w:szCs w:val="24"/>
            </w:rPr>
            <w:fldChar w:fldCharType="end"/>
          </w:r>
        </w:p>
        <w:p w14:paraId="262DE691">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_Toc32565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_Toc32565 \h </w:instrText>
          </w:r>
          <w:r>
            <w:fldChar w:fldCharType="separate"/>
          </w:r>
          <w:r>
            <w:t>4</w:t>
          </w:r>
          <w:r>
            <w:fldChar w:fldCharType="end"/>
          </w:r>
          <w:r>
            <w:rPr>
              <w:rFonts w:hint="eastAsia" w:ascii="宋体" w:hAnsi="宋体" w:eastAsia="宋体" w:cs="宋体"/>
              <w:szCs w:val="24"/>
            </w:rPr>
            <w:fldChar w:fldCharType="end"/>
          </w:r>
        </w:p>
        <w:p w14:paraId="587E0AE4">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_Toc7310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_Toc7310 \h </w:instrText>
          </w:r>
          <w:r>
            <w:fldChar w:fldCharType="separate"/>
          </w:r>
          <w:r>
            <w:t>4</w:t>
          </w:r>
          <w:r>
            <w:fldChar w:fldCharType="end"/>
          </w:r>
          <w:r>
            <w:rPr>
              <w:rFonts w:hint="eastAsia" w:ascii="宋体" w:hAnsi="宋体" w:eastAsia="宋体" w:cs="宋体"/>
              <w:szCs w:val="24"/>
            </w:rPr>
            <w:fldChar w:fldCharType="end"/>
          </w:r>
        </w:p>
        <w:p w14:paraId="4ADE403E">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_Toc30963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_Toc30963 \h </w:instrText>
          </w:r>
          <w:r>
            <w:fldChar w:fldCharType="separate"/>
          </w:r>
          <w:r>
            <w:t>4</w:t>
          </w:r>
          <w:r>
            <w:fldChar w:fldCharType="end"/>
          </w:r>
          <w:r>
            <w:rPr>
              <w:rFonts w:hint="eastAsia" w:ascii="宋体" w:hAnsi="宋体" w:eastAsia="宋体" w:cs="宋体"/>
              <w:szCs w:val="24"/>
            </w:rPr>
            <w:fldChar w:fldCharType="end"/>
          </w:r>
        </w:p>
        <w:p w14:paraId="406B10D3">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_Toc14370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_Toc14370 \h </w:instrText>
          </w:r>
          <w:r>
            <w:fldChar w:fldCharType="separate"/>
          </w:r>
          <w:r>
            <w:t>4</w:t>
          </w:r>
          <w:r>
            <w:fldChar w:fldCharType="end"/>
          </w:r>
          <w:r>
            <w:rPr>
              <w:rFonts w:hint="eastAsia" w:ascii="宋体" w:hAnsi="宋体" w:eastAsia="宋体" w:cs="宋体"/>
              <w:szCs w:val="24"/>
            </w:rPr>
            <w:fldChar w:fldCharType="end"/>
          </w:r>
        </w:p>
        <w:p w14:paraId="6559700C">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_Toc26732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_Toc26732 \h </w:instrText>
          </w:r>
          <w:r>
            <w:fldChar w:fldCharType="separate"/>
          </w:r>
          <w:r>
            <w:t>4</w:t>
          </w:r>
          <w:r>
            <w:fldChar w:fldCharType="end"/>
          </w:r>
          <w:r>
            <w:rPr>
              <w:rFonts w:hint="eastAsia" w:ascii="宋体" w:hAnsi="宋体" w:eastAsia="宋体" w:cs="宋体"/>
              <w:szCs w:val="24"/>
            </w:rPr>
            <w:fldChar w:fldCharType="end"/>
          </w:r>
        </w:p>
        <w:p w14:paraId="78EBAF05">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_Toc3387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_Toc3387 \h </w:instrText>
          </w:r>
          <w:r>
            <w:fldChar w:fldCharType="separate"/>
          </w:r>
          <w:r>
            <w:t>4</w:t>
          </w:r>
          <w:r>
            <w:fldChar w:fldCharType="end"/>
          </w:r>
          <w:r>
            <w:rPr>
              <w:rFonts w:hint="eastAsia" w:ascii="宋体" w:hAnsi="宋体" w:eastAsia="宋体" w:cs="宋体"/>
              <w:szCs w:val="24"/>
            </w:rPr>
            <w:fldChar w:fldCharType="end"/>
          </w:r>
        </w:p>
        <w:p w14:paraId="6AD5517B">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_Toc16438 \h </w:instrText>
          </w:r>
          <w:r>
            <w:fldChar w:fldCharType="separate"/>
          </w:r>
          <w:r>
            <w:t>4</w:t>
          </w:r>
          <w:r>
            <w:fldChar w:fldCharType="end"/>
          </w:r>
          <w:r>
            <w:rPr>
              <w:rFonts w:hint="eastAsia" w:ascii="宋体" w:hAnsi="宋体" w:eastAsia="宋体" w:cs="宋体"/>
              <w:szCs w:val="24"/>
            </w:rPr>
            <w:fldChar w:fldCharType="end"/>
          </w:r>
        </w:p>
        <w:p w14:paraId="05460C6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2DD7F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869B1E">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1824"/>
      <w:r>
        <w:rPr>
          <w:rFonts w:hint="eastAsia"/>
          <w:lang w:val="en-US" w:eastAsia="zh-CN"/>
        </w:rPr>
        <w:t>总则</w:t>
      </w:r>
      <w:bookmarkEnd w:id="2"/>
    </w:p>
    <w:p w14:paraId="151B219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3369"/>
      <w:r>
        <w:rPr>
          <w:rFonts w:hint="eastAsia"/>
          <w:lang w:val="en-US" w:eastAsia="zh-CN"/>
        </w:rPr>
        <w:t>目的</w:t>
      </w:r>
      <w:bookmarkEnd w:id="3"/>
    </w:p>
    <w:p w14:paraId="52A70875">
      <w:pPr>
        <w:pStyle w:val="29"/>
        <w:rPr>
          <w:rFonts w:hint="eastAsia"/>
          <w:lang w:val="en-US" w:eastAsia="zh-CN"/>
        </w:rPr>
      </w:pPr>
      <w:r>
        <w:rPr>
          <w:rFonts w:hint="eastAsia"/>
          <w:lang w:val="en-US" w:eastAsia="zh-CN"/>
        </w:rPr>
        <w:t>为确保持续稳定地向客户提供高品质的信息技术运行维护服务，系统性地发现服务实施过程中的缺陷与改进机会，保障公司运维服务能力管理体系（以下称“体系”）的有效运行与持续改进，特制定本制度。</w:t>
      </w:r>
    </w:p>
    <w:p w14:paraId="74FEE6B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4707"/>
      <w:r>
        <w:rPr>
          <w:rFonts w:hint="eastAsia"/>
          <w:lang w:val="en-US" w:eastAsia="zh-CN"/>
        </w:rPr>
        <w:t>适用范围</w:t>
      </w:r>
      <w:bookmarkEnd w:id="4"/>
    </w:p>
    <w:p w14:paraId="3C8BB5D2">
      <w:pPr>
        <w:pStyle w:val="29"/>
        <w:rPr>
          <w:rFonts w:hint="eastAsia"/>
          <w:lang w:val="en-US" w:eastAsia="zh-CN"/>
        </w:rPr>
      </w:pPr>
      <w:r>
        <w:rPr>
          <w:rFonts w:hint="eastAsia"/>
          <w:lang w:val="en-US" w:eastAsia="zh-CN"/>
        </w:rPr>
        <w:t>本制度适用于阿克苏智汇人才服务有限公司运维服务能力管理体系所覆盖的所有部门及服务全过程，包括运维部、人力部、研发部、质量部、采购部等。</w:t>
      </w:r>
    </w:p>
    <w:p w14:paraId="1D3A738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7905"/>
      <w:r>
        <w:rPr>
          <w:rFonts w:hint="eastAsia"/>
          <w:lang w:val="en-US" w:eastAsia="zh-CN"/>
        </w:rPr>
        <w:t>原则</w:t>
      </w:r>
      <w:bookmarkEnd w:id="5"/>
    </w:p>
    <w:p w14:paraId="47E2616F">
      <w:pPr>
        <w:pStyle w:val="29"/>
        <w:numPr>
          <w:ilvl w:val="0"/>
          <w:numId w:val="2"/>
        </w:numPr>
        <w:ind w:left="425" w:leftChars="0" w:hanging="425" w:firstLineChars="0"/>
        <w:rPr>
          <w:rFonts w:hint="eastAsia"/>
          <w:lang w:val="en-US" w:eastAsia="zh-CN"/>
        </w:rPr>
      </w:pPr>
      <w:r>
        <w:rPr>
          <w:rFonts w:hint="eastAsia"/>
          <w:lang w:val="en-US" w:eastAsia="zh-CN"/>
        </w:rPr>
        <w:t>预防为主，持续改进：注重过程控制与事前预防，通过定期审计与监督，推动服务质量螺旋式上升。</w:t>
      </w:r>
    </w:p>
    <w:p w14:paraId="7FA05DB8">
      <w:pPr>
        <w:pStyle w:val="29"/>
        <w:numPr>
          <w:ilvl w:val="0"/>
          <w:numId w:val="2"/>
        </w:numPr>
        <w:ind w:left="425" w:leftChars="0" w:hanging="425" w:firstLineChars="0"/>
        <w:rPr>
          <w:rFonts w:hint="eastAsia"/>
          <w:lang w:val="en-US" w:eastAsia="zh-CN"/>
        </w:rPr>
      </w:pPr>
      <w:r>
        <w:rPr>
          <w:rFonts w:hint="eastAsia"/>
          <w:lang w:val="en-US" w:eastAsia="zh-CN"/>
        </w:rPr>
        <w:t>客观公正，数据决策：所有监督检查活动应以客观证据为基础，依据数据进行分析与决策。</w:t>
      </w:r>
    </w:p>
    <w:p w14:paraId="38FAF0F3">
      <w:pPr>
        <w:pStyle w:val="29"/>
        <w:numPr>
          <w:ilvl w:val="0"/>
          <w:numId w:val="2"/>
        </w:numPr>
        <w:ind w:left="425" w:leftChars="0" w:hanging="425" w:firstLineChars="0"/>
        <w:rPr>
          <w:rFonts w:hint="eastAsia"/>
          <w:lang w:val="en-US" w:eastAsia="zh-CN"/>
        </w:rPr>
      </w:pPr>
      <w:r>
        <w:rPr>
          <w:rFonts w:hint="eastAsia"/>
          <w:lang w:val="en-US" w:eastAsia="zh-CN"/>
        </w:rPr>
        <w:t>客户导向，聚焦价值：以确保并提升客户满意度为根本出发点，衡量与改进服务价值。</w:t>
      </w:r>
    </w:p>
    <w:p w14:paraId="6FCDC5E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32565"/>
      <w:r>
        <w:rPr>
          <w:rFonts w:hint="eastAsia"/>
          <w:lang w:val="en-US" w:eastAsia="zh-CN"/>
        </w:rPr>
        <w:t>岗位职责</w:t>
      </w:r>
      <w:bookmarkEnd w:id="6"/>
    </w:p>
    <w:p w14:paraId="477EB794">
      <w:pPr>
        <w:pStyle w:val="31"/>
        <w:bidi w:val="0"/>
        <w:rPr>
          <w:rFonts w:hint="default"/>
          <w:lang w:val="en-US" w:eastAsia="zh-CN"/>
        </w:rPr>
      </w:pPr>
      <w:r>
        <w:rPr>
          <w:rFonts w:hint="default"/>
          <w:lang w:val="en-US" w:eastAsia="zh-CN"/>
        </w:rPr>
        <w:t>公司高层</w:t>
      </w:r>
    </w:p>
    <w:p w14:paraId="3BF0E4ED">
      <w:pPr>
        <w:pStyle w:val="29"/>
        <w:rPr>
          <w:rFonts w:hint="default"/>
          <w:lang w:val="en-US" w:eastAsia="zh-CN"/>
        </w:rPr>
      </w:pPr>
      <w:r>
        <w:rPr>
          <w:rFonts w:hint="default"/>
          <w:lang w:val="en-US" w:eastAsia="zh-CN"/>
        </w:rPr>
        <w:t>审批年度运维服务能力管理计划；主持管理评审，确保体系的适应性与有效性。</w:t>
      </w:r>
    </w:p>
    <w:p w14:paraId="478C83E1">
      <w:pPr>
        <w:pStyle w:val="31"/>
        <w:bidi w:val="0"/>
        <w:rPr>
          <w:rFonts w:hint="default"/>
          <w:lang w:val="en-US" w:eastAsia="zh-CN"/>
        </w:rPr>
      </w:pPr>
      <w:r>
        <w:rPr>
          <w:rFonts w:hint="default"/>
          <w:lang w:val="en-US" w:eastAsia="zh-CN"/>
        </w:rPr>
        <w:t>管理者代表</w:t>
      </w:r>
    </w:p>
    <w:p w14:paraId="7A27FCFE">
      <w:pPr>
        <w:pStyle w:val="29"/>
        <w:rPr>
          <w:rFonts w:hint="default"/>
          <w:lang w:val="en-US" w:eastAsia="zh-CN"/>
        </w:rPr>
      </w:pPr>
      <w:r>
        <w:rPr>
          <w:rFonts w:hint="default"/>
          <w:lang w:val="en-US" w:eastAsia="zh-CN"/>
        </w:rPr>
        <w:t>协助高层进行管理评审；任命内审组长并组织内部审核；监控服务过程，审批重大改进。</w:t>
      </w:r>
    </w:p>
    <w:p w14:paraId="2AC76E05">
      <w:pPr>
        <w:pStyle w:val="31"/>
        <w:bidi w:val="0"/>
        <w:rPr>
          <w:rFonts w:hint="default"/>
          <w:lang w:val="en-US" w:eastAsia="zh-CN"/>
        </w:rPr>
      </w:pPr>
      <w:r>
        <w:rPr>
          <w:rFonts w:hint="default"/>
          <w:lang w:val="en-US" w:eastAsia="zh-CN"/>
        </w:rPr>
        <w:t>质量部</w:t>
      </w:r>
    </w:p>
    <w:p w14:paraId="4F9FBE64">
      <w:pPr>
        <w:pStyle w:val="29"/>
        <w:rPr>
          <w:rFonts w:hint="default"/>
          <w:lang w:val="en-US" w:eastAsia="zh-CN"/>
        </w:rPr>
      </w:pPr>
      <w:r>
        <w:rPr>
          <w:rFonts w:hint="default"/>
          <w:lang w:val="en-US" w:eastAsia="zh-CN"/>
        </w:rPr>
        <w:t>制定总体服务质量管理计划；组织内审、管理评审与客户满意度调查；监控服务质量，推动持续改进。</w:t>
      </w:r>
    </w:p>
    <w:p w14:paraId="6BD46707">
      <w:pPr>
        <w:pStyle w:val="31"/>
        <w:bidi w:val="0"/>
        <w:rPr>
          <w:rFonts w:hint="default"/>
          <w:lang w:val="en-US" w:eastAsia="zh-CN"/>
        </w:rPr>
      </w:pPr>
      <w:r>
        <w:rPr>
          <w:rFonts w:hint="default"/>
          <w:lang w:val="en-US" w:eastAsia="zh-CN"/>
        </w:rPr>
        <w:t>运维部</w:t>
      </w:r>
    </w:p>
    <w:p w14:paraId="52562BEF">
      <w:pPr>
        <w:pStyle w:val="29"/>
        <w:rPr>
          <w:rFonts w:hint="default"/>
          <w:lang w:val="en-US" w:eastAsia="zh-CN"/>
        </w:rPr>
      </w:pPr>
      <w:r>
        <w:rPr>
          <w:rFonts w:hint="default"/>
          <w:lang w:val="en-US" w:eastAsia="zh-CN"/>
        </w:rPr>
        <w:t>依据SLA及作业指导书实施运维服务；记录服务过程；针对不符合项制定并实施纠正与预防措施。</w:t>
      </w:r>
    </w:p>
    <w:p w14:paraId="58B86FFD">
      <w:pPr>
        <w:pStyle w:val="31"/>
        <w:bidi w:val="0"/>
        <w:rPr>
          <w:rFonts w:hint="default"/>
          <w:lang w:val="en-US" w:eastAsia="zh-CN"/>
        </w:rPr>
      </w:pPr>
      <w:r>
        <w:rPr>
          <w:rFonts w:hint="default"/>
          <w:lang w:val="en-US" w:eastAsia="zh-CN"/>
        </w:rPr>
        <w:t>人力部</w:t>
      </w:r>
    </w:p>
    <w:p w14:paraId="0EABD247">
      <w:pPr>
        <w:pStyle w:val="29"/>
        <w:rPr>
          <w:rFonts w:hint="default"/>
          <w:lang w:val="en-US" w:eastAsia="zh-CN"/>
        </w:rPr>
      </w:pPr>
      <w:r>
        <w:rPr>
          <w:rFonts w:hint="default"/>
          <w:lang w:val="en-US" w:eastAsia="zh-CN"/>
        </w:rPr>
        <w:t>确保提供满足能力要求的人力资源，组织相关培训。</w:t>
      </w:r>
    </w:p>
    <w:p w14:paraId="7B07EBA1">
      <w:pPr>
        <w:pStyle w:val="31"/>
        <w:bidi w:val="0"/>
        <w:rPr>
          <w:rFonts w:hint="default"/>
          <w:lang w:val="en-US" w:eastAsia="zh-CN"/>
        </w:rPr>
      </w:pPr>
      <w:r>
        <w:rPr>
          <w:rFonts w:hint="default"/>
          <w:lang w:val="en-US" w:eastAsia="zh-CN"/>
        </w:rPr>
        <w:t>采购部</w:t>
      </w:r>
    </w:p>
    <w:p w14:paraId="3F6DF578">
      <w:pPr>
        <w:pStyle w:val="29"/>
        <w:rPr>
          <w:rFonts w:hint="default"/>
          <w:lang w:val="en-US" w:eastAsia="zh-CN"/>
        </w:rPr>
      </w:pPr>
      <w:r>
        <w:rPr>
          <w:rFonts w:hint="default"/>
          <w:lang w:val="en-US" w:eastAsia="zh-CN"/>
        </w:rPr>
        <w:t>确保备品备件供应的及时性与可用性。</w:t>
      </w:r>
    </w:p>
    <w:p w14:paraId="744EE43F">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7" w:name="_Toc7310"/>
      <w:r>
        <w:rPr>
          <w:rFonts w:hint="eastAsia"/>
          <w:lang w:val="en-US" w:eastAsia="zh-CN"/>
        </w:rPr>
        <w:t>引用依据</w:t>
      </w:r>
      <w:bookmarkEnd w:id="7"/>
    </w:p>
    <w:p w14:paraId="59E175F9">
      <w:pPr>
        <w:pStyle w:val="29"/>
        <w:numPr>
          <w:ilvl w:val="0"/>
          <w:numId w:val="3"/>
        </w:numPr>
        <w:ind w:left="425" w:leftChars="0" w:hanging="425" w:firstLineChars="0"/>
        <w:rPr>
          <w:rFonts w:hint="eastAsia"/>
          <w:lang w:val="en-US" w:eastAsia="zh-CN"/>
        </w:rPr>
      </w:pPr>
      <w:r>
        <w:rPr>
          <w:rFonts w:hint="eastAsia"/>
          <w:lang w:val="en-US" w:eastAsia="zh-CN"/>
        </w:rPr>
        <w:t>GB/T 28827.1-2022 《信息技术服务 运行维护 第1部分：通用要求》</w:t>
      </w:r>
    </w:p>
    <w:p w14:paraId="7F7D6801">
      <w:pPr>
        <w:pStyle w:val="29"/>
        <w:numPr>
          <w:ilvl w:val="0"/>
          <w:numId w:val="3"/>
        </w:numPr>
        <w:ind w:left="425" w:leftChars="0" w:hanging="425" w:firstLineChars="0"/>
        <w:rPr>
          <w:rFonts w:hint="eastAsia"/>
          <w:lang w:val="en-US" w:eastAsia="zh-CN"/>
        </w:rPr>
      </w:pPr>
      <w:r>
        <w:rPr>
          <w:rFonts w:hint="eastAsia"/>
          <w:lang w:val="en-US" w:eastAsia="zh-CN"/>
        </w:rPr>
        <w:t>GB/T 28827.2-2012 《信息技术服务 运行维护 第2部分：交付规范》</w:t>
      </w:r>
    </w:p>
    <w:p w14:paraId="0073E124">
      <w:pPr>
        <w:pStyle w:val="29"/>
        <w:numPr>
          <w:ilvl w:val="0"/>
          <w:numId w:val="3"/>
        </w:numPr>
        <w:ind w:left="425" w:leftChars="0" w:hanging="425" w:firstLineChars="0"/>
        <w:rPr>
          <w:rFonts w:hint="eastAsia"/>
          <w:lang w:val="en-US" w:eastAsia="zh-CN"/>
        </w:rPr>
      </w:pPr>
      <w:r>
        <w:rPr>
          <w:rFonts w:hint="eastAsia"/>
          <w:lang w:val="en-US" w:eastAsia="zh-CN"/>
        </w:rPr>
        <w:t>GB/T 28827.3-2012 《信息技术服务 运行维护 第3部分：应急响应规范》</w:t>
      </w:r>
    </w:p>
    <w:p w14:paraId="78CB84C2">
      <w:pPr>
        <w:pStyle w:val="29"/>
        <w:numPr>
          <w:ilvl w:val="0"/>
          <w:numId w:val="3"/>
        </w:numPr>
        <w:ind w:left="425" w:leftChars="0" w:hanging="425" w:firstLineChars="0"/>
        <w:rPr>
          <w:rFonts w:hint="eastAsia"/>
          <w:lang w:val="en-US" w:eastAsia="zh-CN"/>
        </w:rPr>
      </w:pPr>
      <w:r>
        <w:rPr>
          <w:rFonts w:hint="eastAsia"/>
          <w:lang w:val="en-US" w:eastAsia="zh-CN"/>
        </w:rPr>
        <w:t>T/CESA 1299—2023 《信息技术服务 运行维护服务能力成熟度模型》</w:t>
      </w:r>
    </w:p>
    <w:p w14:paraId="037756E7">
      <w:pPr>
        <w:pStyle w:val="29"/>
        <w:numPr>
          <w:ilvl w:val="0"/>
          <w:numId w:val="3"/>
        </w:numPr>
        <w:ind w:left="425" w:leftChars="0" w:hanging="425" w:firstLineChars="0"/>
        <w:rPr>
          <w:rFonts w:hint="eastAsia"/>
          <w:lang w:val="en-US" w:eastAsia="zh-CN"/>
        </w:rPr>
      </w:pPr>
      <w:r>
        <w:rPr>
          <w:rFonts w:hint="eastAsia"/>
          <w:lang w:val="en-US" w:eastAsia="zh-CN"/>
        </w:rPr>
        <w:t>公司《2025年度运维服务能力管理计划》</w:t>
      </w:r>
    </w:p>
    <w:p w14:paraId="3078E5D4">
      <w:pPr>
        <w:pStyle w:val="28"/>
        <w:keepNext w:val="0"/>
        <w:keepLines w:val="0"/>
        <w:pageBreakBefore w:val="0"/>
        <w:widowControl w:val="0"/>
        <w:kinsoku w:val="0"/>
        <w:wordWrap/>
        <w:overflowPunct/>
        <w:autoSpaceDE w:val="0"/>
        <w:autoSpaceDN w:val="0"/>
        <w:bidi w:val="0"/>
        <w:adjustRightInd w:val="0"/>
        <w:snapToGrid w:val="0"/>
        <w:textAlignment w:val="baseline"/>
      </w:pPr>
      <w:bookmarkStart w:id="8" w:name="_Toc30963"/>
      <w:r>
        <w:rPr>
          <w:rFonts w:hint="eastAsia"/>
          <w:lang w:val="en-US" w:eastAsia="zh-CN"/>
        </w:rPr>
        <w:t>定义与术语</w:t>
      </w:r>
      <w:bookmarkEnd w:id="8"/>
    </w:p>
    <w:p w14:paraId="655EB56E">
      <w:pPr>
        <w:pStyle w:val="30"/>
        <w:bidi w:val="0"/>
        <w:rPr>
          <w:rFonts w:hint="eastAsia"/>
        </w:rPr>
      </w:pPr>
      <w:r>
        <w:rPr>
          <w:rFonts w:hint="eastAsia"/>
        </w:rPr>
        <w:t>SLA</w:t>
      </w:r>
    </w:p>
    <w:p w14:paraId="42EC56C4">
      <w:pPr>
        <w:pStyle w:val="29"/>
        <w:rPr>
          <w:rFonts w:hint="eastAsia"/>
        </w:rPr>
      </w:pPr>
      <w:r>
        <w:rPr>
          <w:rFonts w:hint="eastAsia"/>
        </w:rPr>
        <w:t>服务级别协议，界定运维服务范围、质量标准和双方责任的文件。</w:t>
      </w:r>
    </w:p>
    <w:p w14:paraId="01B82DC4">
      <w:pPr>
        <w:pStyle w:val="30"/>
        <w:bidi w:val="0"/>
        <w:rPr>
          <w:rFonts w:hint="eastAsia"/>
        </w:rPr>
      </w:pPr>
      <w:r>
        <w:rPr>
          <w:rFonts w:hint="eastAsia"/>
        </w:rPr>
        <w:t>内部审核</w:t>
      </w:r>
    </w:p>
    <w:p w14:paraId="1C867F39">
      <w:pPr>
        <w:pStyle w:val="29"/>
        <w:rPr>
          <w:rFonts w:hint="eastAsia"/>
        </w:rPr>
      </w:pPr>
      <w:r>
        <w:rPr>
          <w:rFonts w:hint="eastAsia"/>
        </w:rPr>
        <w:t>为获取证据并对其进行客观评价，以确定满足审核准则的程度所进行的系统的、独立的并形成文件的过程。</w:t>
      </w:r>
    </w:p>
    <w:p w14:paraId="6B5370FB">
      <w:pPr>
        <w:pStyle w:val="30"/>
        <w:bidi w:val="0"/>
        <w:rPr>
          <w:rFonts w:hint="eastAsia"/>
        </w:rPr>
      </w:pPr>
      <w:r>
        <w:rPr>
          <w:rFonts w:hint="eastAsia"/>
        </w:rPr>
        <w:t>管理评审</w:t>
      </w:r>
    </w:p>
    <w:p w14:paraId="04CDF175">
      <w:pPr>
        <w:pStyle w:val="29"/>
        <w:rPr>
          <w:rFonts w:hint="eastAsia"/>
        </w:rPr>
      </w:pPr>
      <w:r>
        <w:rPr>
          <w:rFonts w:hint="eastAsia"/>
        </w:rPr>
        <w:t>由最高管理者就质量方针和目标，对体系的适宜性、充分性和有效性进行的正式评价。</w:t>
      </w:r>
    </w:p>
    <w:p w14:paraId="68B70858">
      <w:pPr>
        <w:pStyle w:val="30"/>
        <w:bidi w:val="0"/>
        <w:rPr>
          <w:rFonts w:hint="eastAsia"/>
        </w:rPr>
      </w:pPr>
      <w:r>
        <w:rPr>
          <w:rFonts w:hint="eastAsia"/>
        </w:rPr>
        <w:t>不符合项</w:t>
      </w:r>
    </w:p>
    <w:p w14:paraId="1D9852DD">
      <w:pPr>
        <w:pStyle w:val="29"/>
      </w:pPr>
      <w:r>
        <w:rPr>
          <w:rFonts w:hint="eastAsia"/>
        </w:rPr>
        <w:t>未满足规范、标准或体系文件要求的情况。</w:t>
      </w:r>
    </w:p>
    <w:p w14:paraId="60EF8C3F">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4370"/>
      <w:r>
        <w:rPr>
          <w:rFonts w:hint="eastAsia"/>
          <w:lang w:val="en-US" w:eastAsia="zh-CN"/>
        </w:rPr>
        <w:t>管理内容与要求</w:t>
      </w:r>
      <w:bookmarkEnd w:id="9"/>
    </w:p>
    <w:p w14:paraId="4A852382">
      <w:pPr>
        <w:pStyle w:val="30"/>
        <w:bidi w:val="0"/>
        <w:rPr>
          <w:rFonts w:hint="default"/>
          <w:lang w:val="en-US" w:eastAsia="zh-CN"/>
        </w:rPr>
      </w:pPr>
      <w:r>
        <w:rPr>
          <w:rFonts w:hint="default"/>
          <w:lang w:val="en-US" w:eastAsia="zh-CN"/>
        </w:rPr>
        <w:t>体系审核与评审管理</w:t>
      </w:r>
    </w:p>
    <w:p w14:paraId="6EBF6297">
      <w:pPr>
        <w:pStyle w:val="29"/>
        <w:rPr>
          <w:rFonts w:hint="default"/>
          <w:lang w:val="en-US" w:eastAsia="zh-CN"/>
        </w:rPr>
      </w:pPr>
      <w:r>
        <w:rPr>
          <w:rFonts w:hint="default"/>
          <w:lang w:val="en-US" w:eastAsia="zh-CN"/>
        </w:rPr>
        <w:t>本部分是评价体系整体符合性与有效性的核心机制。</w:t>
      </w:r>
    </w:p>
    <w:p w14:paraId="5C332C25">
      <w:pPr>
        <w:pStyle w:val="31"/>
        <w:bidi w:val="0"/>
        <w:rPr>
          <w:rFonts w:hint="default"/>
          <w:lang w:val="en-US" w:eastAsia="zh-CN"/>
        </w:rPr>
      </w:pPr>
      <w:r>
        <w:rPr>
          <w:rFonts w:hint="default"/>
          <w:lang w:val="en-US" w:eastAsia="zh-CN"/>
        </w:rPr>
        <w:t>内部审核</w:t>
      </w:r>
    </w:p>
    <w:p w14:paraId="0DB8F522">
      <w:pPr>
        <w:pStyle w:val="29"/>
        <w:rPr>
          <w:rFonts w:hint="default"/>
          <w:lang w:val="en-US" w:eastAsia="zh-CN"/>
        </w:rPr>
      </w:pPr>
      <w:r>
        <w:rPr>
          <w:rFonts w:hint="default"/>
          <w:lang w:val="en-US" w:eastAsia="zh-CN"/>
        </w:rPr>
        <w:t>频次与计划：每年至少进行一次全覆盖内部审核，间隔不超过12个月。质量部负责于2025年1季度末前制定并提交《2025年度内部审核方案》，报管理者代表审批。</w:t>
      </w:r>
    </w:p>
    <w:p w14:paraId="1B3B5368">
      <w:pPr>
        <w:pStyle w:val="29"/>
        <w:rPr>
          <w:rFonts w:hint="default"/>
          <w:lang w:val="en-US" w:eastAsia="zh-CN"/>
        </w:rPr>
      </w:pPr>
      <w:r>
        <w:rPr>
          <w:rFonts w:hint="default"/>
          <w:lang w:val="en-US" w:eastAsia="zh-CN"/>
        </w:rPr>
        <w:t>审核范围与依据：审核应覆盖运维服务相关的所有部门与过程（人员、资源、技术、过程）。审核准则包括ITSS标准、公司体系文件及适用法律法规。</w:t>
      </w:r>
    </w:p>
    <w:p w14:paraId="065F962E">
      <w:pPr>
        <w:pStyle w:val="29"/>
        <w:rPr>
          <w:rFonts w:hint="default"/>
          <w:lang w:val="en-US" w:eastAsia="zh-CN"/>
        </w:rPr>
      </w:pPr>
      <w:r>
        <w:rPr>
          <w:rFonts w:hint="default"/>
          <w:lang w:val="en-US" w:eastAsia="zh-CN"/>
        </w:rPr>
        <w:t>审核实施：审核组需编制检查表，客观记录审核证据。审核结束后，出具《内部审核报告》，对发现的不符合项，责任部门需在5个工作日内分析原因并制定《纠正与预防措施报告》，由审核组跟踪验证直至关闭。</w:t>
      </w:r>
    </w:p>
    <w:p w14:paraId="629FA02C">
      <w:pPr>
        <w:pStyle w:val="31"/>
        <w:bidi w:val="0"/>
        <w:rPr>
          <w:rFonts w:hint="default"/>
          <w:lang w:val="en-US" w:eastAsia="zh-CN"/>
        </w:rPr>
      </w:pPr>
      <w:r>
        <w:rPr>
          <w:rFonts w:hint="default"/>
          <w:lang w:val="en-US" w:eastAsia="zh-CN"/>
        </w:rPr>
        <w:t>管理评审</w:t>
      </w:r>
    </w:p>
    <w:p w14:paraId="73DDB898">
      <w:pPr>
        <w:pStyle w:val="29"/>
        <w:rPr>
          <w:rFonts w:hint="default"/>
          <w:lang w:val="en-US" w:eastAsia="zh-CN"/>
        </w:rPr>
      </w:pPr>
      <w:r>
        <w:rPr>
          <w:rFonts w:hint="default"/>
          <w:lang w:val="en-US" w:eastAsia="zh-CN"/>
        </w:rPr>
        <w:t>频次与组织：每年至少进行一次，由公司高层主持，管理者代表组织，各部门负责人参加。</w:t>
      </w:r>
    </w:p>
    <w:p w14:paraId="7B797AA3">
      <w:pPr>
        <w:pStyle w:val="29"/>
        <w:rPr>
          <w:rFonts w:hint="default"/>
          <w:lang w:val="en-US" w:eastAsia="zh-CN"/>
        </w:rPr>
      </w:pPr>
      <w:r>
        <w:rPr>
          <w:rFonts w:hint="default"/>
          <w:lang w:val="en-US" w:eastAsia="zh-CN"/>
        </w:rPr>
        <w:t>输入与输出：评审输入需包括：年度内审结果、客户满意度分析、服务质量目标达成情况、纠正与预防措施状况、以往管理评审的跟踪措施等。评审输出应包括体系改进决策、资源需求变更及下一年度质量目标。</w:t>
      </w:r>
    </w:p>
    <w:p w14:paraId="4D8DC568">
      <w:pPr>
        <w:pStyle w:val="30"/>
        <w:bidi w:val="0"/>
        <w:rPr>
          <w:rFonts w:hint="default"/>
          <w:lang w:val="en-US" w:eastAsia="zh-CN"/>
        </w:rPr>
      </w:pPr>
      <w:r>
        <w:rPr>
          <w:rFonts w:hint="default"/>
          <w:lang w:val="en-US" w:eastAsia="zh-CN"/>
        </w:rPr>
        <w:t>服务质量过程控制</w:t>
      </w:r>
    </w:p>
    <w:p w14:paraId="50A4AA2E">
      <w:pPr>
        <w:pStyle w:val="29"/>
        <w:rPr>
          <w:rFonts w:hint="default"/>
          <w:lang w:val="en-US" w:eastAsia="zh-CN"/>
        </w:rPr>
      </w:pPr>
      <w:r>
        <w:rPr>
          <w:rFonts w:hint="default"/>
          <w:lang w:val="en-US" w:eastAsia="zh-CN"/>
        </w:rPr>
        <w:t>本部分规定了在项目与服务交付层面确保质量的具体活动。</w:t>
      </w:r>
    </w:p>
    <w:p w14:paraId="2657D230">
      <w:pPr>
        <w:pStyle w:val="31"/>
        <w:bidi w:val="0"/>
        <w:rPr>
          <w:rFonts w:hint="default"/>
          <w:lang w:val="en-US" w:eastAsia="zh-CN"/>
        </w:rPr>
      </w:pPr>
      <w:r>
        <w:rPr>
          <w:rFonts w:hint="default"/>
          <w:lang w:val="en-US" w:eastAsia="zh-CN"/>
        </w:rPr>
        <w:t>服务交付控制</w:t>
      </w:r>
    </w:p>
    <w:p w14:paraId="593CEEDC">
      <w:pPr>
        <w:pStyle w:val="29"/>
        <w:rPr>
          <w:rFonts w:hint="default"/>
          <w:lang w:val="en-US" w:eastAsia="zh-CN"/>
        </w:rPr>
      </w:pPr>
      <w:r>
        <w:rPr>
          <w:rFonts w:hint="default"/>
          <w:lang w:val="en-US" w:eastAsia="zh-CN"/>
        </w:rPr>
        <w:t>计划与准备：项目启动前，专业负责人需根据SLA要求制定《服务质量保证计划》，明确质量控制点与方法。</w:t>
      </w:r>
    </w:p>
    <w:p w14:paraId="12348FF8">
      <w:pPr>
        <w:pStyle w:val="29"/>
        <w:rPr>
          <w:rFonts w:hint="default"/>
          <w:lang w:val="en-US" w:eastAsia="zh-CN"/>
        </w:rPr>
      </w:pPr>
      <w:r>
        <w:rPr>
          <w:rFonts w:hint="default"/>
          <w:lang w:val="en-US" w:eastAsia="zh-CN"/>
        </w:rPr>
        <w:t>过程执行与监控：运维人员须严格按作业指导书操作，实时记录服务过程。专业负责人对关键活动进行监督，确保符合SLA要求。</w:t>
      </w:r>
    </w:p>
    <w:p w14:paraId="3DFFEAB8">
      <w:pPr>
        <w:pStyle w:val="31"/>
        <w:bidi w:val="0"/>
        <w:rPr>
          <w:rFonts w:hint="default"/>
          <w:lang w:val="en-US" w:eastAsia="zh-CN"/>
        </w:rPr>
      </w:pPr>
      <w:r>
        <w:rPr>
          <w:rFonts w:hint="default"/>
          <w:lang w:val="en-US" w:eastAsia="zh-CN"/>
        </w:rPr>
        <w:t>服务质量度量与分析</w:t>
      </w:r>
    </w:p>
    <w:p w14:paraId="55850750">
      <w:pPr>
        <w:pStyle w:val="29"/>
        <w:rPr>
          <w:rFonts w:hint="default"/>
          <w:lang w:val="en-US" w:eastAsia="zh-CN"/>
        </w:rPr>
      </w:pPr>
      <w:r>
        <w:rPr>
          <w:rFonts w:hint="default"/>
          <w:lang w:val="en-US" w:eastAsia="zh-CN"/>
        </w:rPr>
        <w:t>数据收集：质量部牵头，协同运维部定义并收集关键绩效指标，如事件解决率、平均修复时间、SLA达成率等。</w:t>
      </w:r>
    </w:p>
    <w:p w14:paraId="3674CB89">
      <w:pPr>
        <w:pStyle w:val="29"/>
        <w:rPr>
          <w:rFonts w:hint="default"/>
          <w:lang w:val="en-US" w:eastAsia="zh-CN"/>
        </w:rPr>
      </w:pPr>
      <w:r>
        <w:rPr>
          <w:rFonts w:hint="default"/>
          <w:lang w:val="en-US" w:eastAsia="zh-CN"/>
        </w:rPr>
        <w:t>定期分析：运维部经理每月组织召开质量分析会，基于数据形成《月度质量分析报告》，识别趋势性问题并启动改进。</w:t>
      </w:r>
    </w:p>
    <w:p w14:paraId="409C748C">
      <w:pPr>
        <w:pStyle w:val="30"/>
        <w:bidi w:val="0"/>
        <w:rPr>
          <w:rFonts w:hint="default"/>
          <w:lang w:val="en-US" w:eastAsia="zh-CN"/>
        </w:rPr>
      </w:pPr>
      <w:r>
        <w:rPr>
          <w:rFonts w:hint="default"/>
          <w:lang w:val="en-US" w:eastAsia="zh-CN"/>
        </w:rPr>
        <w:t>客户满意度管理</w:t>
      </w:r>
    </w:p>
    <w:p w14:paraId="067D6D7B">
      <w:pPr>
        <w:pStyle w:val="29"/>
        <w:rPr>
          <w:rFonts w:hint="default"/>
          <w:lang w:val="en-US" w:eastAsia="zh-CN"/>
        </w:rPr>
      </w:pPr>
      <w:r>
        <w:rPr>
          <w:rFonts w:hint="default"/>
          <w:lang w:val="en-US" w:eastAsia="zh-CN"/>
        </w:rPr>
        <w:t>客户反馈是衡量服务质量的重要标尺。</w:t>
      </w:r>
    </w:p>
    <w:p w14:paraId="2E1ECFF1">
      <w:pPr>
        <w:pStyle w:val="31"/>
        <w:bidi w:val="0"/>
        <w:rPr>
          <w:rFonts w:hint="default"/>
          <w:lang w:val="en-US" w:eastAsia="zh-CN"/>
        </w:rPr>
      </w:pPr>
      <w:r>
        <w:rPr>
          <w:rFonts w:hint="default"/>
          <w:lang w:val="en-US" w:eastAsia="zh-CN"/>
        </w:rPr>
        <w:t>多层级满意度调查</w:t>
      </w:r>
    </w:p>
    <w:p w14:paraId="7E15DFF0">
      <w:pPr>
        <w:pStyle w:val="29"/>
        <w:numPr>
          <w:ilvl w:val="0"/>
          <w:numId w:val="4"/>
        </w:numPr>
        <w:ind w:left="425" w:leftChars="0" w:hanging="425" w:firstLineChars="0"/>
        <w:rPr>
          <w:rFonts w:hint="default"/>
          <w:lang w:val="en-US" w:eastAsia="zh-CN"/>
        </w:rPr>
      </w:pPr>
      <w:r>
        <w:rPr>
          <w:rFonts w:hint="default"/>
          <w:lang w:val="en-US" w:eastAsia="zh-CN"/>
        </w:rPr>
        <w:t>事件级回访：客服管理部在单个事件关闭后24小时内进行100%电话回访，记录单次服务满意度。</w:t>
      </w:r>
    </w:p>
    <w:p w14:paraId="0150E203">
      <w:pPr>
        <w:pStyle w:val="29"/>
        <w:numPr>
          <w:ilvl w:val="0"/>
          <w:numId w:val="4"/>
        </w:numPr>
        <w:ind w:left="425" w:leftChars="0" w:hanging="425" w:firstLineChars="0"/>
        <w:rPr>
          <w:rFonts w:hint="default"/>
          <w:lang w:val="en-US" w:eastAsia="zh-CN"/>
        </w:rPr>
      </w:pPr>
      <w:r>
        <w:rPr>
          <w:rFonts w:hint="default"/>
          <w:lang w:val="en-US" w:eastAsia="zh-CN"/>
        </w:rPr>
        <w:t>项目级调查：专业负责人每月通过问卷等形式，对项目客户进行满意度调查。</w:t>
      </w:r>
    </w:p>
    <w:p w14:paraId="370CC345">
      <w:pPr>
        <w:pStyle w:val="29"/>
        <w:numPr>
          <w:ilvl w:val="0"/>
          <w:numId w:val="4"/>
        </w:numPr>
        <w:ind w:left="425" w:leftChars="0" w:hanging="425" w:firstLineChars="0"/>
        <w:rPr>
          <w:rFonts w:hint="default"/>
          <w:lang w:val="en-US" w:eastAsia="zh-CN"/>
        </w:rPr>
      </w:pPr>
      <w:r>
        <w:rPr>
          <w:rFonts w:hint="default"/>
          <w:lang w:val="en-US" w:eastAsia="zh-CN"/>
        </w:rPr>
        <w:t>公司级调查：质量部每年至少组织一次全面的客户满意度调查，确保样本覆盖所有主要客户和项目，并出具《年度客户满意度综合分析报告》。</w:t>
      </w:r>
    </w:p>
    <w:p w14:paraId="09392D81">
      <w:pPr>
        <w:pStyle w:val="31"/>
        <w:bidi w:val="0"/>
        <w:rPr>
          <w:rFonts w:hint="default"/>
          <w:lang w:val="en-US" w:eastAsia="zh-CN"/>
        </w:rPr>
      </w:pPr>
      <w:r>
        <w:rPr>
          <w:rFonts w:hint="default"/>
          <w:lang w:val="en-US" w:eastAsia="zh-CN"/>
        </w:rPr>
        <w:t>客户沟通与关系维护</w:t>
      </w:r>
    </w:p>
    <w:p w14:paraId="7EB971D7">
      <w:pPr>
        <w:pStyle w:val="29"/>
        <w:rPr>
          <w:rFonts w:hint="default"/>
          <w:lang w:val="en-US" w:eastAsia="zh-CN"/>
        </w:rPr>
      </w:pPr>
      <w:r>
        <w:rPr>
          <w:rFonts w:hint="default"/>
          <w:lang w:val="en-US" w:eastAsia="zh-CN"/>
        </w:rPr>
        <w:t>运维部经理及以上人员应定期对重点客户进行拜访，直接获取高层次反馈，并记录于《客户拜访记录表》。</w:t>
      </w:r>
    </w:p>
    <w:p w14:paraId="11E65890">
      <w:pPr>
        <w:pStyle w:val="30"/>
        <w:bidi w:val="0"/>
        <w:rPr>
          <w:rFonts w:hint="default"/>
          <w:lang w:val="en-US" w:eastAsia="zh-CN"/>
        </w:rPr>
      </w:pPr>
      <w:r>
        <w:rPr>
          <w:rFonts w:hint="default"/>
          <w:lang w:val="en-US" w:eastAsia="zh-CN"/>
        </w:rPr>
        <w:t>持续改进机制</w:t>
      </w:r>
    </w:p>
    <w:p w14:paraId="165023F0">
      <w:pPr>
        <w:pStyle w:val="29"/>
        <w:rPr>
          <w:rFonts w:hint="default"/>
          <w:lang w:val="en-US" w:eastAsia="zh-CN"/>
        </w:rPr>
      </w:pPr>
      <w:r>
        <w:rPr>
          <w:rFonts w:hint="default"/>
          <w:lang w:val="en-US" w:eastAsia="zh-CN"/>
        </w:rPr>
        <w:t>改进机会识别：改进机会应来源于内审/外审、管理评审、数据分析、客户投诉与建议等。</w:t>
      </w:r>
    </w:p>
    <w:p w14:paraId="4B5ED5BA">
      <w:pPr>
        <w:pStyle w:val="29"/>
        <w:rPr>
          <w:rFonts w:hint="default"/>
          <w:lang w:val="en-US" w:eastAsia="zh-CN"/>
        </w:rPr>
      </w:pPr>
      <w:r>
        <w:rPr>
          <w:rFonts w:hint="default"/>
          <w:lang w:val="en-US" w:eastAsia="zh-CN"/>
        </w:rPr>
        <w:t>改进项目实施：对于确认的改进项，由责任部门制定改进计划，经审批后实施。质量部负责跟踪改进措施的实施效果，并将其纳入管理评审。</w:t>
      </w:r>
    </w:p>
    <w:p w14:paraId="067C144C">
      <w:pPr>
        <w:pStyle w:val="29"/>
        <w:rPr>
          <w:rFonts w:hint="eastAsia"/>
          <w:lang w:val="en-US" w:eastAsia="zh-CN"/>
        </w:rPr>
      </w:pPr>
      <w:r>
        <w:rPr>
          <w:rFonts w:hint="eastAsia"/>
          <w:lang w:val="en-US" w:eastAsia="zh-CN"/>
        </w:rPr>
        <w:t>运维服务内容如表4-1所示</w:t>
      </w:r>
    </w:p>
    <w:p w14:paraId="1E350BCA">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w:instrText>
      </w:r>
      <w:r>
        <w:rPr>
          <w:rFonts w:hint="default"/>
          <w:lang w:val="en-US" w:eastAsia="zh-CN"/>
        </w:rPr>
        <w:instrText xml:space="preserve"> STYLEREF "柴_标题1" \n \* Charformat</w:instrText>
      </w:r>
      <w:r>
        <w:rPr>
          <w:rFonts w:hint="eastAsia"/>
          <w:lang w:val="en-US" w:eastAsia="zh-CN"/>
        </w:rPr>
        <w:instrText xml:space="preserve"> </w:instrText>
      </w:r>
      <w:r>
        <w:rPr>
          <w:rFonts w:hint="eastAsia"/>
          <w:lang w:val="en-US" w:eastAsia="zh-CN"/>
        </w:rPr>
        <w:fldChar w:fldCharType="separate"/>
      </w:r>
      <w:r>
        <w:rPr>
          <w:rFonts w:hint="default"/>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w:instrText>
      </w:r>
      <w:r>
        <w:rPr>
          <w:rFonts w:hint="default"/>
          <w:lang w:val="en-US" w:eastAsia="zh-CN"/>
        </w:rPr>
        <w:instrText xml:space="preserve">  SEQ 图表 \* ARABIC  \s 1</w:instrText>
      </w:r>
      <w:r>
        <w:rPr>
          <w:rFonts w:hint="eastAsia"/>
          <w:lang w:val="en-US" w:eastAsia="zh-CN"/>
        </w:rPr>
        <w:instrText xml:space="preserve"> </w:instrText>
      </w:r>
      <w:r>
        <w:rPr>
          <w:rFonts w:hint="eastAsia"/>
          <w:lang w:val="en-US" w:eastAsia="zh-CN"/>
        </w:rPr>
        <w:fldChar w:fldCharType="separate"/>
      </w:r>
      <w:r>
        <w:rPr>
          <w:rFonts w:hint="default"/>
          <w:lang w:val="en-US" w:eastAsia="zh-CN"/>
        </w:rPr>
        <w:t>1</w:t>
      </w:r>
      <w:r>
        <w:rPr>
          <w:rFonts w:hint="eastAsia"/>
          <w:lang w:val="en-US" w:eastAsia="zh-CN"/>
        </w:rPr>
        <w:fldChar w:fldCharType="end"/>
      </w:r>
      <w:r>
        <w:rPr>
          <w:rFonts w:hint="eastAsia"/>
          <w:lang w:val="en-US" w:eastAsia="zh-CN"/>
        </w:rPr>
        <w:t>运维服务内容表</w:t>
      </w:r>
    </w:p>
    <w:tbl>
      <w:tblPr>
        <w:tblStyle w:val="39"/>
        <w:tblW w:w="930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46"/>
        <w:gridCol w:w="2124"/>
        <w:gridCol w:w="1649"/>
        <w:gridCol w:w="1587"/>
      </w:tblGrid>
      <w:tr w14:paraId="0CD90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5" w:hRule="atLeast"/>
        </w:trPr>
        <w:tc>
          <w:tcPr>
            <w:tcW w:w="3946" w:type="dxa"/>
            <w:vAlign w:val="top"/>
          </w:tcPr>
          <w:p w14:paraId="7CCF0A24">
            <w:pPr>
              <w:pStyle w:val="27"/>
              <w:spacing w:line="272" w:lineRule="auto"/>
            </w:pPr>
          </w:p>
          <w:p w14:paraId="3319038D">
            <w:pPr>
              <w:spacing w:before="78" w:line="220" w:lineRule="auto"/>
              <w:ind w:left="1253"/>
              <w:rPr>
                <w:rFonts w:ascii="宋体" w:hAnsi="宋体" w:eastAsia="宋体" w:cs="宋体"/>
                <w:sz w:val="24"/>
                <w:szCs w:val="24"/>
              </w:rPr>
            </w:pPr>
            <w:r>
              <w:rPr>
                <w:rFonts w:ascii="宋体" w:hAnsi="宋体" w:eastAsia="宋体" w:cs="宋体"/>
                <w:b/>
                <w:bCs/>
                <w:spacing w:val="-4"/>
                <w:sz w:val="24"/>
                <w:szCs w:val="24"/>
              </w:rPr>
              <w:t>运维服务内容</w:t>
            </w:r>
          </w:p>
        </w:tc>
        <w:tc>
          <w:tcPr>
            <w:tcW w:w="2124" w:type="dxa"/>
            <w:vAlign w:val="top"/>
          </w:tcPr>
          <w:p w14:paraId="6D97F84D">
            <w:pPr>
              <w:pStyle w:val="27"/>
              <w:spacing w:line="273" w:lineRule="auto"/>
            </w:pPr>
          </w:p>
          <w:p w14:paraId="706F9052">
            <w:pPr>
              <w:spacing w:before="78" w:line="220" w:lineRule="auto"/>
              <w:ind w:left="582"/>
              <w:rPr>
                <w:rFonts w:ascii="宋体" w:hAnsi="宋体" w:eastAsia="宋体" w:cs="宋体"/>
                <w:sz w:val="24"/>
                <w:szCs w:val="24"/>
              </w:rPr>
            </w:pPr>
            <w:r>
              <w:rPr>
                <w:rFonts w:ascii="宋体" w:hAnsi="宋体" w:eastAsia="宋体" w:cs="宋体"/>
                <w:b/>
                <w:bCs/>
                <w:spacing w:val="-4"/>
                <w:sz w:val="24"/>
                <w:szCs w:val="24"/>
              </w:rPr>
              <w:t>跟踪时间</w:t>
            </w:r>
          </w:p>
        </w:tc>
        <w:tc>
          <w:tcPr>
            <w:tcW w:w="1649" w:type="dxa"/>
            <w:vAlign w:val="top"/>
          </w:tcPr>
          <w:p w14:paraId="73AD2A6F">
            <w:pPr>
              <w:pStyle w:val="27"/>
              <w:spacing w:line="273" w:lineRule="auto"/>
            </w:pPr>
          </w:p>
          <w:p w14:paraId="7BF92B05">
            <w:pPr>
              <w:spacing w:before="78" w:line="220" w:lineRule="auto"/>
              <w:ind w:left="471"/>
              <w:rPr>
                <w:rFonts w:ascii="宋体" w:hAnsi="宋体" w:eastAsia="宋体" w:cs="宋体"/>
                <w:sz w:val="24"/>
                <w:szCs w:val="24"/>
              </w:rPr>
            </w:pPr>
            <w:r>
              <w:rPr>
                <w:rFonts w:ascii="宋体" w:hAnsi="宋体" w:eastAsia="宋体" w:cs="宋体"/>
                <w:b/>
                <w:bCs/>
                <w:spacing w:val="-6"/>
                <w:sz w:val="24"/>
                <w:szCs w:val="24"/>
              </w:rPr>
              <w:t>成果物</w:t>
            </w:r>
          </w:p>
        </w:tc>
        <w:tc>
          <w:tcPr>
            <w:tcW w:w="1587" w:type="dxa"/>
            <w:vAlign w:val="top"/>
          </w:tcPr>
          <w:p w14:paraId="17CABE1A">
            <w:pPr>
              <w:pStyle w:val="27"/>
              <w:spacing w:line="272" w:lineRule="auto"/>
            </w:pPr>
          </w:p>
          <w:p w14:paraId="6F7B306C">
            <w:pPr>
              <w:spacing w:before="78" w:line="220" w:lineRule="auto"/>
              <w:ind w:left="137"/>
              <w:rPr>
                <w:rFonts w:ascii="宋体" w:hAnsi="宋体" w:eastAsia="宋体" w:cs="宋体"/>
                <w:sz w:val="24"/>
                <w:szCs w:val="24"/>
              </w:rPr>
            </w:pPr>
            <w:r>
              <w:rPr>
                <w:rFonts w:ascii="宋体" w:hAnsi="宋体" w:eastAsia="宋体" w:cs="宋体"/>
                <w:b/>
                <w:bCs/>
                <w:spacing w:val="-4"/>
                <w:sz w:val="24"/>
                <w:szCs w:val="24"/>
              </w:rPr>
              <w:t>提交人/部门</w:t>
            </w:r>
          </w:p>
        </w:tc>
      </w:tr>
      <w:tr w14:paraId="405B5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3" w:hRule="atLeast"/>
        </w:trPr>
        <w:tc>
          <w:tcPr>
            <w:tcW w:w="3946" w:type="dxa"/>
            <w:vAlign w:val="top"/>
          </w:tcPr>
          <w:p w14:paraId="4167CBC0">
            <w:pPr>
              <w:spacing w:before="113" w:line="328" w:lineRule="auto"/>
              <w:ind w:left="117" w:right="104" w:hanging="5"/>
              <w:rPr>
                <w:rFonts w:ascii="宋体" w:hAnsi="宋体" w:eastAsia="宋体" w:cs="宋体"/>
                <w:sz w:val="24"/>
                <w:szCs w:val="24"/>
              </w:rPr>
            </w:pPr>
            <w:r>
              <w:rPr>
                <w:rFonts w:ascii="宋体" w:hAnsi="宋体" w:eastAsia="宋体" w:cs="宋体"/>
                <w:spacing w:val="-1"/>
                <w:sz w:val="24"/>
                <w:szCs w:val="24"/>
              </w:rPr>
              <w:t>每月对运维业务开展情况以及过程</w:t>
            </w:r>
            <w:r>
              <w:rPr>
                <w:rFonts w:ascii="宋体" w:hAnsi="宋体" w:eastAsia="宋体" w:cs="宋体"/>
                <w:spacing w:val="-8"/>
                <w:sz w:val="24"/>
                <w:szCs w:val="24"/>
              </w:rPr>
              <w:t>管理情况重点工作进行总结，并形成</w:t>
            </w:r>
            <w:r>
              <w:rPr>
                <w:rFonts w:ascii="宋体" w:hAnsi="宋体" w:eastAsia="宋体" w:cs="宋体"/>
                <w:spacing w:val="-7"/>
                <w:sz w:val="24"/>
                <w:szCs w:val="24"/>
              </w:rPr>
              <w:t>月服务报告。</w:t>
            </w:r>
          </w:p>
        </w:tc>
        <w:tc>
          <w:tcPr>
            <w:tcW w:w="2124" w:type="dxa"/>
            <w:vAlign w:val="top"/>
          </w:tcPr>
          <w:p w14:paraId="48A38628">
            <w:pPr>
              <w:pStyle w:val="27"/>
              <w:spacing w:line="249" w:lineRule="auto"/>
            </w:pPr>
          </w:p>
          <w:p w14:paraId="3892B430">
            <w:pPr>
              <w:pStyle w:val="27"/>
              <w:spacing w:line="249" w:lineRule="auto"/>
            </w:pPr>
          </w:p>
          <w:p w14:paraId="6428C329">
            <w:pPr>
              <w:spacing w:before="78" w:line="220" w:lineRule="auto"/>
              <w:ind w:left="586"/>
              <w:rPr>
                <w:rFonts w:ascii="宋体" w:hAnsi="宋体" w:eastAsia="宋体" w:cs="宋体"/>
                <w:sz w:val="24"/>
                <w:szCs w:val="24"/>
              </w:rPr>
            </w:pPr>
            <w:r>
              <w:rPr>
                <w:rFonts w:ascii="宋体" w:hAnsi="宋体" w:eastAsia="宋体" w:cs="宋体"/>
                <w:spacing w:val="-2"/>
                <w:sz w:val="24"/>
                <w:szCs w:val="24"/>
              </w:rPr>
              <w:t>每月月初</w:t>
            </w:r>
          </w:p>
        </w:tc>
        <w:tc>
          <w:tcPr>
            <w:tcW w:w="1649" w:type="dxa"/>
            <w:vAlign w:val="top"/>
          </w:tcPr>
          <w:p w14:paraId="531F8E22">
            <w:pPr>
              <w:pStyle w:val="27"/>
              <w:spacing w:line="249" w:lineRule="auto"/>
            </w:pPr>
          </w:p>
          <w:p w14:paraId="34D6C2A9">
            <w:pPr>
              <w:pStyle w:val="27"/>
              <w:spacing w:line="249" w:lineRule="auto"/>
            </w:pPr>
          </w:p>
          <w:p w14:paraId="46B12238">
            <w:pPr>
              <w:spacing w:before="78" w:line="218" w:lineRule="auto"/>
              <w:ind w:left="236"/>
              <w:rPr>
                <w:rFonts w:ascii="宋体" w:hAnsi="宋体" w:eastAsia="宋体" w:cs="宋体"/>
                <w:sz w:val="24"/>
                <w:szCs w:val="24"/>
              </w:rPr>
            </w:pPr>
            <w:r>
              <w:rPr>
                <w:rFonts w:ascii="宋体" w:hAnsi="宋体" w:eastAsia="宋体" w:cs="宋体"/>
                <w:spacing w:val="-3"/>
                <w:sz w:val="24"/>
                <w:szCs w:val="24"/>
              </w:rPr>
              <w:t>月服务报告</w:t>
            </w:r>
          </w:p>
        </w:tc>
        <w:tc>
          <w:tcPr>
            <w:tcW w:w="1587" w:type="dxa"/>
            <w:vAlign w:val="top"/>
          </w:tcPr>
          <w:p w14:paraId="33D0DC6C">
            <w:pPr>
              <w:pStyle w:val="27"/>
              <w:spacing w:line="249" w:lineRule="auto"/>
            </w:pPr>
          </w:p>
          <w:p w14:paraId="66A34B5B">
            <w:pPr>
              <w:pStyle w:val="27"/>
              <w:spacing w:line="249" w:lineRule="auto"/>
            </w:pPr>
          </w:p>
          <w:p w14:paraId="6C940281">
            <w:pPr>
              <w:spacing w:before="78" w:line="220" w:lineRule="auto"/>
              <w:ind w:left="200"/>
              <w:rPr>
                <w:rFonts w:hint="eastAsia" w:ascii="宋体" w:hAnsi="宋体" w:eastAsia="宋体" w:cs="宋体"/>
                <w:sz w:val="24"/>
                <w:szCs w:val="24"/>
                <w:lang w:eastAsia="zh-CN"/>
              </w:rPr>
            </w:pPr>
            <w:r>
              <w:rPr>
                <w:rFonts w:hint="eastAsia" w:ascii="宋体" w:hAnsi="宋体" w:eastAsia="宋体" w:cs="宋体"/>
                <w:spacing w:val="-2"/>
                <w:sz w:val="24"/>
                <w:szCs w:val="24"/>
                <w:lang w:val="en-US" w:eastAsia="zh-CN"/>
              </w:rPr>
              <w:t>运维部</w:t>
            </w:r>
          </w:p>
        </w:tc>
      </w:tr>
      <w:tr w14:paraId="4CCD2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3" w:hRule="atLeast"/>
        </w:trPr>
        <w:tc>
          <w:tcPr>
            <w:tcW w:w="3946" w:type="dxa"/>
            <w:vAlign w:val="top"/>
          </w:tcPr>
          <w:p w14:paraId="0D897EB0">
            <w:pPr>
              <w:spacing w:before="113" w:line="328" w:lineRule="auto"/>
              <w:ind w:left="112" w:right="103"/>
              <w:rPr>
                <w:rFonts w:ascii="宋体" w:hAnsi="宋体" w:eastAsia="宋体" w:cs="宋体"/>
                <w:sz w:val="24"/>
                <w:szCs w:val="24"/>
              </w:rPr>
            </w:pPr>
            <w:r>
              <w:rPr>
                <w:rFonts w:ascii="宋体" w:hAnsi="宋体" w:eastAsia="宋体" w:cs="宋体"/>
                <w:spacing w:val="-1"/>
                <w:sz w:val="24"/>
                <w:szCs w:val="24"/>
              </w:rPr>
              <w:t>每月对年度运维管理计划中规划的</w:t>
            </w:r>
            <w:r>
              <w:rPr>
                <w:rFonts w:ascii="宋体" w:hAnsi="宋体" w:eastAsia="宋体" w:cs="宋体"/>
                <w:spacing w:val="-8"/>
                <w:sz w:val="24"/>
                <w:szCs w:val="24"/>
              </w:rPr>
              <w:t>活动进行检查，对于运维项目规范性</w:t>
            </w:r>
            <w:r>
              <w:rPr>
                <w:rFonts w:ascii="宋体" w:hAnsi="宋体" w:eastAsia="宋体" w:cs="宋体"/>
                <w:spacing w:val="-1"/>
                <w:sz w:val="24"/>
                <w:szCs w:val="24"/>
              </w:rPr>
              <w:t>执行方面，每月进行抽查</w:t>
            </w:r>
          </w:p>
        </w:tc>
        <w:tc>
          <w:tcPr>
            <w:tcW w:w="2124" w:type="dxa"/>
            <w:vAlign w:val="top"/>
          </w:tcPr>
          <w:p w14:paraId="2B3D95DC">
            <w:pPr>
              <w:pStyle w:val="27"/>
              <w:spacing w:line="249" w:lineRule="auto"/>
            </w:pPr>
          </w:p>
          <w:p w14:paraId="0928F95A">
            <w:pPr>
              <w:pStyle w:val="27"/>
              <w:spacing w:line="250" w:lineRule="auto"/>
            </w:pPr>
          </w:p>
          <w:p w14:paraId="3752091A">
            <w:pPr>
              <w:spacing w:before="78" w:line="220" w:lineRule="auto"/>
              <w:ind w:left="832"/>
              <w:rPr>
                <w:rFonts w:ascii="宋体" w:hAnsi="宋体" w:eastAsia="宋体" w:cs="宋体"/>
                <w:sz w:val="24"/>
                <w:szCs w:val="24"/>
              </w:rPr>
            </w:pPr>
            <w:r>
              <w:rPr>
                <w:rFonts w:ascii="宋体" w:hAnsi="宋体" w:eastAsia="宋体" w:cs="宋体"/>
                <w:spacing w:val="-4"/>
                <w:sz w:val="24"/>
                <w:szCs w:val="24"/>
              </w:rPr>
              <w:t>月底</w:t>
            </w:r>
          </w:p>
        </w:tc>
        <w:tc>
          <w:tcPr>
            <w:tcW w:w="1649" w:type="dxa"/>
            <w:vAlign w:val="top"/>
          </w:tcPr>
          <w:p w14:paraId="697CDF61">
            <w:pPr>
              <w:spacing w:before="112" w:line="220" w:lineRule="auto"/>
              <w:ind w:left="230"/>
              <w:rPr>
                <w:rFonts w:ascii="宋体" w:hAnsi="宋体" w:eastAsia="宋体" w:cs="宋体"/>
                <w:sz w:val="24"/>
                <w:szCs w:val="24"/>
              </w:rPr>
            </w:pPr>
            <w:r>
              <w:rPr>
                <w:rFonts w:ascii="宋体" w:hAnsi="宋体" w:eastAsia="宋体" w:cs="宋体"/>
                <w:spacing w:val="-2"/>
                <w:sz w:val="24"/>
                <w:szCs w:val="24"/>
              </w:rPr>
              <w:t>运维项目管</w:t>
            </w:r>
          </w:p>
          <w:p w14:paraId="57B6DAA5">
            <w:pPr>
              <w:spacing w:before="183" w:line="312" w:lineRule="auto"/>
              <w:ind w:left="709" w:right="217" w:hanging="476"/>
              <w:rPr>
                <w:rFonts w:ascii="宋体" w:hAnsi="宋体" w:eastAsia="宋体" w:cs="宋体"/>
                <w:sz w:val="24"/>
                <w:szCs w:val="24"/>
              </w:rPr>
            </w:pPr>
            <w:r>
              <w:rPr>
                <w:rFonts w:ascii="宋体" w:hAnsi="宋体" w:eastAsia="宋体" w:cs="宋体"/>
                <w:spacing w:val="-3"/>
                <w:sz w:val="24"/>
                <w:szCs w:val="24"/>
              </w:rPr>
              <w:t>理计划跟踪</w:t>
            </w:r>
            <w:r>
              <w:rPr>
                <w:rFonts w:ascii="宋体" w:hAnsi="宋体" w:eastAsia="宋体" w:cs="宋体"/>
                <w:sz w:val="24"/>
                <w:szCs w:val="24"/>
              </w:rPr>
              <w:t>表</w:t>
            </w:r>
          </w:p>
        </w:tc>
        <w:tc>
          <w:tcPr>
            <w:tcW w:w="1587" w:type="dxa"/>
            <w:vAlign w:val="top"/>
          </w:tcPr>
          <w:p w14:paraId="27BF680A">
            <w:pPr>
              <w:pStyle w:val="27"/>
              <w:spacing w:line="249" w:lineRule="auto"/>
            </w:pPr>
          </w:p>
          <w:p w14:paraId="055E80CA">
            <w:pPr>
              <w:pStyle w:val="27"/>
              <w:spacing w:line="250" w:lineRule="auto"/>
            </w:pPr>
          </w:p>
          <w:p w14:paraId="28719EA2">
            <w:pPr>
              <w:spacing w:before="78" w:line="220" w:lineRule="auto"/>
              <w:ind w:left="200"/>
              <w:rPr>
                <w:rFonts w:ascii="宋体" w:hAnsi="宋体" w:eastAsia="宋体" w:cs="宋体"/>
                <w:sz w:val="24"/>
                <w:szCs w:val="24"/>
              </w:rPr>
            </w:pPr>
            <w:r>
              <w:rPr>
                <w:rFonts w:hint="eastAsia" w:ascii="宋体" w:hAnsi="宋体" w:eastAsia="宋体" w:cs="宋体"/>
                <w:spacing w:val="-2"/>
                <w:sz w:val="24"/>
                <w:szCs w:val="24"/>
                <w:lang w:val="en-US" w:eastAsia="zh-CN"/>
              </w:rPr>
              <w:t>运维部</w:t>
            </w:r>
          </w:p>
        </w:tc>
      </w:tr>
      <w:tr w14:paraId="18FE8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7" w:hRule="atLeast"/>
        </w:trPr>
        <w:tc>
          <w:tcPr>
            <w:tcW w:w="3946" w:type="dxa"/>
            <w:vAlign w:val="top"/>
          </w:tcPr>
          <w:p w14:paraId="6B4E3BA2">
            <w:pPr>
              <w:spacing w:before="238" w:line="220" w:lineRule="auto"/>
              <w:ind w:left="112"/>
              <w:rPr>
                <w:rFonts w:ascii="宋体" w:hAnsi="宋体" w:eastAsia="宋体" w:cs="宋体"/>
                <w:sz w:val="24"/>
                <w:szCs w:val="24"/>
              </w:rPr>
            </w:pPr>
            <w:r>
              <w:rPr>
                <w:rFonts w:ascii="宋体" w:hAnsi="宋体" w:eastAsia="宋体" w:cs="宋体"/>
                <w:spacing w:val="-2"/>
                <w:sz w:val="24"/>
                <w:szCs w:val="24"/>
              </w:rPr>
              <w:t>每季度收集运维</w:t>
            </w:r>
            <w:r>
              <w:rPr>
                <w:rFonts w:ascii="宋体" w:hAnsi="宋体" w:eastAsia="宋体" w:cs="宋体"/>
                <w:spacing w:val="-53"/>
                <w:sz w:val="24"/>
                <w:szCs w:val="24"/>
              </w:rPr>
              <w:t xml:space="preserve"> </w:t>
            </w:r>
            <w:r>
              <w:rPr>
                <w:rFonts w:ascii="宋体" w:hAnsi="宋体" w:eastAsia="宋体" w:cs="宋体"/>
                <w:spacing w:val="-2"/>
                <w:sz w:val="24"/>
                <w:szCs w:val="24"/>
              </w:rPr>
              <w:t>KPI</w:t>
            </w:r>
            <w:r>
              <w:rPr>
                <w:rFonts w:ascii="宋体" w:hAnsi="宋体" w:eastAsia="宋体" w:cs="宋体"/>
                <w:spacing w:val="-48"/>
                <w:sz w:val="24"/>
                <w:szCs w:val="24"/>
              </w:rPr>
              <w:t xml:space="preserve"> </w:t>
            </w:r>
            <w:r>
              <w:rPr>
                <w:rFonts w:ascii="宋体" w:hAnsi="宋体" w:eastAsia="宋体" w:cs="宋体"/>
                <w:spacing w:val="-2"/>
                <w:sz w:val="24"/>
                <w:szCs w:val="24"/>
              </w:rPr>
              <w:t>数据</w:t>
            </w:r>
          </w:p>
        </w:tc>
        <w:tc>
          <w:tcPr>
            <w:tcW w:w="2124" w:type="dxa"/>
            <w:vAlign w:val="top"/>
          </w:tcPr>
          <w:p w14:paraId="28CC3B12">
            <w:pPr>
              <w:spacing w:before="238" w:line="220" w:lineRule="auto"/>
              <w:ind w:left="706"/>
              <w:rPr>
                <w:rFonts w:ascii="宋体" w:hAnsi="宋体" w:eastAsia="宋体" w:cs="宋体"/>
                <w:sz w:val="24"/>
                <w:szCs w:val="24"/>
              </w:rPr>
            </w:pPr>
            <w:r>
              <w:rPr>
                <w:rFonts w:ascii="宋体" w:hAnsi="宋体" w:eastAsia="宋体" w:cs="宋体"/>
                <w:spacing w:val="-3"/>
                <w:sz w:val="24"/>
                <w:szCs w:val="24"/>
              </w:rPr>
              <w:t>每季度</w:t>
            </w:r>
          </w:p>
        </w:tc>
        <w:tc>
          <w:tcPr>
            <w:tcW w:w="1649" w:type="dxa"/>
            <w:vAlign w:val="top"/>
          </w:tcPr>
          <w:p w14:paraId="6F15911E">
            <w:pPr>
              <w:spacing w:before="238" w:line="220" w:lineRule="auto"/>
              <w:ind w:left="137"/>
              <w:rPr>
                <w:rFonts w:ascii="宋体" w:hAnsi="宋体" w:eastAsia="宋体" w:cs="宋体"/>
                <w:sz w:val="24"/>
                <w:szCs w:val="24"/>
              </w:rPr>
            </w:pPr>
            <w:r>
              <w:rPr>
                <w:rFonts w:ascii="宋体" w:hAnsi="宋体" w:eastAsia="宋体" w:cs="宋体"/>
                <w:spacing w:val="-2"/>
                <w:sz w:val="24"/>
                <w:szCs w:val="24"/>
              </w:rPr>
              <w:t>KPI</w:t>
            </w:r>
            <w:r>
              <w:rPr>
                <w:rFonts w:ascii="宋体" w:hAnsi="宋体" w:eastAsia="宋体" w:cs="宋体"/>
                <w:spacing w:val="-49"/>
                <w:sz w:val="24"/>
                <w:szCs w:val="24"/>
              </w:rPr>
              <w:t xml:space="preserve"> </w:t>
            </w:r>
            <w:r>
              <w:rPr>
                <w:rFonts w:ascii="宋体" w:hAnsi="宋体" w:eastAsia="宋体" w:cs="宋体"/>
                <w:spacing w:val="-2"/>
                <w:sz w:val="24"/>
                <w:szCs w:val="24"/>
              </w:rPr>
              <w:t>完成记录</w:t>
            </w:r>
          </w:p>
        </w:tc>
        <w:tc>
          <w:tcPr>
            <w:tcW w:w="1587" w:type="dxa"/>
            <w:vAlign w:val="top"/>
          </w:tcPr>
          <w:p w14:paraId="1F4BFEDA">
            <w:pPr>
              <w:spacing w:before="238" w:line="220" w:lineRule="auto"/>
              <w:ind w:left="200"/>
              <w:rPr>
                <w:rFonts w:ascii="宋体" w:hAnsi="宋体" w:eastAsia="宋体" w:cs="宋体"/>
                <w:sz w:val="24"/>
                <w:szCs w:val="24"/>
              </w:rPr>
            </w:pPr>
            <w:r>
              <w:rPr>
                <w:rFonts w:hint="eastAsia" w:ascii="宋体" w:hAnsi="宋体" w:eastAsia="宋体" w:cs="宋体"/>
                <w:spacing w:val="-2"/>
                <w:sz w:val="24"/>
                <w:szCs w:val="24"/>
                <w:lang w:val="en-US" w:eastAsia="zh-CN"/>
              </w:rPr>
              <w:t>运维部</w:t>
            </w:r>
          </w:p>
        </w:tc>
      </w:tr>
      <w:tr w14:paraId="4ABBE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3" w:hRule="atLeast"/>
        </w:trPr>
        <w:tc>
          <w:tcPr>
            <w:tcW w:w="3946" w:type="dxa"/>
            <w:vAlign w:val="top"/>
          </w:tcPr>
          <w:p w14:paraId="6E4E6261">
            <w:pPr>
              <w:spacing w:before="113" w:line="328" w:lineRule="auto"/>
              <w:ind w:left="111" w:right="103"/>
              <w:jc w:val="both"/>
              <w:rPr>
                <w:rFonts w:ascii="宋体" w:hAnsi="宋体" w:eastAsia="宋体" w:cs="宋体"/>
                <w:sz w:val="24"/>
                <w:szCs w:val="24"/>
              </w:rPr>
            </w:pPr>
            <w:r>
              <w:rPr>
                <w:rFonts w:ascii="宋体" w:hAnsi="宋体" w:eastAsia="宋体" w:cs="宋体"/>
                <w:spacing w:val="-8"/>
                <w:sz w:val="24"/>
                <w:szCs w:val="24"/>
              </w:rPr>
              <w:t>对于用户的服务请求处理完毕后，客服管理部电话进行回访，调查单次用</w:t>
            </w:r>
            <w:r>
              <w:rPr>
                <w:rFonts w:ascii="宋体" w:hAnsi="宋体" w:eastAsia="宋体" w:cs="宋体"/>
                <w:spacing w:val="-2"/>
                <w:sz w:val="24"/>
                <w:szCs w:val="24"/>
              </w:rPr>
              <w:t>户满意度</w:t>
            </w:r>
          </w:p>
        </w:tc>
        <w:tc>
          <w:tcPr>
            <w:tcW w:w="2124" w:type="dxa"/>
            <w:vAlign w:val="top"/>
          </w:tcPr>
          <w:p w14:paraId="3FCA535A">
            <w:pPr>
              <w:pStyle w:val="27"/>
              <w:spacing w:line="269" w:lineRule="auto"/>
            </w:pPr>
          </w:p>
          <w:p w14:paraId="1D92B6EB">
            <w:pPr>
              <w:spacing w:before="78" w:line="362" w:lineRule="auto"/>
              <w:ind w:left="226" w:right="217"/>
              <w:rPr>
                <w:rFonts w:ascii="宋体" w:hAnsi="宋体" w:eastAsia="宋体" w:cs="宋体"/>
                <w:sz w:val="24"/>
                <w:szCs w:val="24"/>
              </w:rPr>
            </w:pPr>
            <w:r>
              <w:rPr>
                <w:rFonts w:ascii="宋体" w:hAnsi="宋体" w:eastAsia="宋体" w:cs="宋体"/>
                <w:spacing w:val="-2"/>
                <w:sz w:val="24"/>
                <w:szCs w:val="24"/>
              </w:rPr>
              <w:t>服务请求或事件得到解决关闭前</w:t>
            </w:r>
          </w:p>
        </w:tc>
        <w:tc>
          <w:tcPr>
            <w:tcW w:w="1649" w:type="dxa"/>
            <w:vAlign w:val="top"/>
          </w:tcPr>
          <w:p w14:paraId="5F70A02F">
            <w:pPr>
              <w:pStyle w:val="27"/>
              <w:spacing w:line="269" w:lineRule="auto"/>
            </w:pPr>
          </w:p>
          <w:p w14:paraId="50291360">
            <w:pPr>
              <w:spacing w:before="78" w:line="363" w:lineRule="auto"/>
              <w:ind w:left="589" w:right="217" w:hanging="335"/>
              <w:rPr>
                <w:rFonts w:ascii="宋体" w:hAnsi="宋体" w:eastAsia="宋体" w:cs="宋体"/>
                <w:sz w:val="24"/>
                <w:szCs w:val="24"/>
              </w:rPr>
            </w:pPr>
            <w:r>
              <w:rPr>
                <w:rFonts w:ascii="宋体" w:hAnsi="宋体" w:eastAsia="宋体" w:cs="宋体"/>
                <w:spacing w:val="-7"/>
                <w:sz w:val="24"/>
                <w:szCs w:val="24"/>
              </w:rPr>
              <w:t>回访满意度</w:t>
            </w:r>
            <w:r>
              <w:rPr>
                <w:rFonts w:ascii="宋体" w:hAnsi="宋体" w:eastAsia="宋体" w:cs="宋体"/>
                <w:spacing w:val="-3"/>
                <w:sz w:val="24"/>
                <w:szCs w:val="24"/>
              </w:rPr>
              <w:t>记录</w:t>
            </w:r>
          </w:p>
        </w:tc>
        <w:tc>
          <w:tcPr>
            <w:tcW w:w="1587" w:type="dxa"/>
            <w:vAlign w:val="top"/>
          </w:tcPr>
          <w:p w14:paraId="270E1191">
            <w:pPr>
              <w:spacing w:before="78" w:line="363" w:lineRule="auto"/>
              <w:ind w:right="186"/>
              <w:rPr>
                <w:rFonts w:hint="eastAsia" w:ascii="宋体" w:hAnsi="宋体" w:eastAsia="宋体" w:cs="宋体"/>
                <w:sz w:val="24"/>
                <w:szCs w:val="24"/>
                <w:lang w:val="en-US" w:eastAsia="zh-CN"/>
              </w:rPr>
            </w:pPr>
          </w:p>
          <w:p w14:paraId="4C43DBCC">
            <w:pPr>
              <w:spacing w:before="78" w:line="363" w:lineRule="auto"/>
              <w:ind w:right="186"/>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服务台专员</w:t>
            </w:r>
          </w:p>
        </w:tc>
      </w:tr>
      <w:tr w14:paraId="155F3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3946" w:type="dxa"/>
            <w:vAlign w:val="top"/>
          </w:tcPr>
          <w:p w14:paraId="60301807">
            <w:pPr>
              <w:spacing w:before="113" w:line="336" w:lineRule="auto"/>
              <w:ind w:left="111" w:right="103"/>
              <w:jc w:val="both"/>
              <w:rPr>
                <w:rFonts w:ascii="宋体" w:hAnsi="宋体" w:eastAsia="宋体" w:cs="宋体"/>
                <w:sz w:val="24"/>
                <w:szCs w:val="24"/>
              </w:rPr>
            </w:pPr>
            <w:r>
              <w:rPr>
                <w:rFonts w:ascii="宋体" w:hAnsi="宋体" w:eastAsia="宋体" w:cs="宋体"/>
                <w:spacing w:val="-8"/>
                <w:sz w:val="24"/>
                <w:szCs w:val="24"/>
              </w:rPr>
              <w:t>每次服务结束后，客户需要对服务进行评价，并记录在案，现场服务后客户需在现场服务报告单上签字，对值</w:t>
            </w:r>
            <w:r>
              <w:rPr>
                <w:rFonts w:ascii="宋体" w:hAnsi="宋体" w:eastAsia="宋体" w:cs="宋体"/>
                <w:spacing w:val="-1"/>
                <w:sz w:val="24"/>
                <w:szCs w:val="24"/>
              </w:rPr>
              <w:t>班员/检修员进行满意度评分</w:t>
            </w:r>
          </w:p>
        </w:tc>
        <w:tc>
          <w:tcPr>
            <w:tcW w:w="2124" w:type="dxa"/>
            <w:vAlign w:val="top"/>
          </w:tcPr>
          <w:p w14:paraId="1DB39A77">
            <w:pPr>
              <w:pStyle w:val="27"/>
              <w:spacing w:line="244" w:lineRule="auto"/>
            </w:pPr>
          </w:p>
          <w:p w14:paraId="75279F4B">
            <w:pPr>
              <w:pStyle w:val="27"/>
              <w:spacing w:line="245" w:lineRule="auto"/>
            </w:pPr>
          </w:p>
          <w:p w14:paraId="5DEDB35D">
            <w:pPr>
              <w:pStyle w:val="27"/>
              <w:spacing w:line="245" w:lineRule="auto"/>
            </w:pPr>
          </w:p>
          <w:p w14:paraId="0A082F4E">
            <w:pPr>
              <w:spacing w:before="78" w:line="220" w:lineRule="auto"/>
              <w:ind w:left="228"/>
              <w:rPr>
                <w:rFonts w:ascii="宋体" w:hAnsi="宋体" w:eastAsia="宋体" w:cs="宋体"/>
                <w:sz w:val="24"/>
                <w:szCs w:val="24"/>
              </w:rPr>
            </w:pPr>
            <w:r>
              <w:rPr>
                <w:rFonts w:ascii="宋体" w:hAnsi="宋体" w:eastAsia="宋体" w:cs="宋体"/>
                <w:spacing w:val="-2"/>
                <w:sz w:val="24"/>
                <w:szCs w:val="24"/>
              </w:rPr>
              <w:t>现场服务结束后</w:t>
            </w:r>
          </w:p>
        </w:tc>
        <w:tc>
          <w:tcPr>
            <w:tcW w:w="1649" w:type="dxa"/>
            <w:vAlign w:val="top"/>
          </w:tcPr>
          <w:p w14:paraId="781E0319">
            <w:pPr>
              <w:pStyle w:val="27"/>
              <w:spacing w:line="245" w:lineRule="auto"/>
            </w:pPr>
          </w:p>
          <w:p w14:paraId="19FB050D">
            <w:pPr>
              <w:pStyle w:val="27"/>
              <w:spacing w:line="245" w:lineRule="auto"/>
            </w:pPr>
          </w:p>
          <w:p w14:paraId="431544C4">
            <w:pPr>
              <w:pStyle w:val="27"/>
              <w:spacing w:line="245" w:lineRule="auto"/>
            </w:pPr>
          </w:p>
          <w:p w14:paraId="489ACAD6">
            <w:pPr>
              <w:spacing w:before="78" w:line="218" w:lineRule="auto"/>
              <w:ind w:left="350"/>
              <w:rPr>
                <w:rFonts w:ascii="宋体" w:hAnsi="宋体" w:eastAsia="宋体" w:cs="宋体"/>
                <w:sz w:val="24"/>
                <w:szCs w:val="24"/>
              </w:rPr>
            </w:pPr>
            <w:r>
              <w:rPr>
                <w:rFonts w:ascii="宋体" w:hAnsi="宋体" w:eastAsia="宋体" w:cs="宋体"/>
                <w:spacing w:val="-2"/>
                <w:sz w:val="24"/>
                <w:szCs w:val="24"/>
              </w:rPr>
              <w:t>服务报告</w:t>
            </w:r>
          </w:p>
        </w:tc>
        <w:tc>
          <w:tcPr>
            <w:tcW w:w="1587" w:type="dxa"/>
            <w:vAlign w:val="top"/>
          </w:tcPr>
          <w:p w14:paraId="7EB66704">
            <w:pPr>
              <w:pStyle w:val="27"/>
              <w:spacing w:line="251" w:lineRule="auto"/>
            </w:pPr>
          </w:p>
          <w:p w14:paraId="0B88F501">
            <w:pPr>
              <w:pStyle w:val="27"/>
              <w:spacing w:line="251" w:lineRule="auto"/>
            </w:pPr>
          </w:p>
          <w:p w14:paraId="3956F2D6">
            <w:pPr>
              <w:spacing w:before="78" w:line="363" w:lineRule="auto"/>
              <w:ind w:left="688" w:right="126" w:hanging="549"/>
              <w:rPr>
                <w:rFonts w:ascii="宋体" w:hAnsi="宋体" w:eastAsia="宋体" w:cs="宋体"/>
                <w:sz w:val="24"/>
                <w:szCs w:val="24"/>
              </w:rPr>
            </w:pPr>
            <w:r>
              <w:rPr>
                <w:rFonts w:hint="eastAsia" w:ascii="宋体" w:hAnsi="宋体" w:eastAsia="宋体" w:cs="宋体"/>
                <w:sz w:val="24"/>
                <w:szCs w:val="24"/>
                <w:lang w:val="en-US" w:eastAsia="zh-CN"/>
              </w:rPr>
              <w:t>服务台专员</w:t>
            </w:r>
          </w:p>
        </w:tc>
      </w:tr>
      <w:tr w14:paraId="7F2CC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3" w:hRule="atLeast"/>
        </w:trPr>
        <w:tc>
          <w:tcPr>
            <w:tcW w:w="3946" w:type="dxa"/>
            <w:vAlign w:val="top"/>
          </w:tcPr>
          <w:p w14:paraId="57023F19">
            <w:pPr>
              <w:pStyle w:val="27"/>
              <w:spacing w:line="251" w:lineRule="auto"/>
            </w:pPr>
          </w:p>
          <w:p w14:paraId="59933620">
            <w:pPr>
              <w:pStyle w:val="27"/>
              <w:spacing w:line="252" w:lineRule="auto"/>
            </w:pPr>
          </w:p>
          <w:p w14:paraId="5780644E">
            <w:pPr>
              <w:spacing w:before="78" w:line="220" w:lineRule="auto"/>
              <w:ind w:left="112"/>
              <w:rPr>
                <w:rFonts w:ascii="宋体" w:hAnsi="宋体" w:eastAsia="宋体" w:cs="宋体"/>
                <w:sz w:val="24"/>
                <w:szCs w:val="24"/>
              </w:rPr>
            </w:pPr>
            <w:r>
              <w:rPr>
                <w:rFonts w:ascii="宋体" w:hAnsi="宋体" w:eastAsia="宋体" w:cs="宋体"/>
                <w:spacing w:val="-1"/>
                <w:sz w:val="24"/>
                <w:szCs w:val="24"/>
              </w:rPr>
              <w:t>运维部经理对重点客户的拜访</w:t>
            </w:r>
          </w:p>
        </w:tc>
        <w:tc>
          <w:tcPr>
            <w:tcW w:w="2124" w:type="dxa"/>
            <w:vAlign w:val="top"/>
          </w:tcPr>
          <w:p w14:paraId="3ECDEDC1">
            <w:pPr>
              <w:spacing w:before="116" w:line="360" w:lineRule="auto"/>
              <w:ind w:left="230" w:right="145" w:hanging="120"/>
              <w:rPr>
                <w:rFonts w:ascii="宋体" w:hAnsi="宋体" w:eastAsia="宋体" w:cs="宋体"/>
                <w:sz w:val="24"/>
                <w:szCs w:val="24"/>
              </w:rPr>
            </w:pPr>
            <w:r>
              <w:rPr>
                <w:rFonts w:ascii="宋体" w:hAnsi="宋体" w:eastAsia="宋体" w:cs="宋体"/>
                <w:spacing w:val="-8"/>
                <w:sz w:val="24"/>
                <w:szCs w:val="24"/>
              </w:rPr>
              <w:t>视项目实际情况，</w:t>
            </w:r>
            <w:r>
              <w:rPr>
                <w:rFonts w:ascii="宋体" w:hAnsi="宋体" w:eastAsia="宋体" w:cs="宋体"/>
                <w:spacing w:val="-2"/>
                <w:sz w:val="24"/>
                <w:szCs w:val="24"/>
              </w:rPr>
              <w:t>与客户商定拜访</w:t>
            </w:r>
          </w:p>
          <w:p w14:paraId="69B800A4">
            <w:pPr>
              <w:spacing w:line="221" w:lineRule="auto"/>
              <w:ind w:left="837"/>
              <w:rPr>
                <w:rFonts w:ascii="宋体" w:hAnsi="宋体" w:eastAsia="宋体" w:cs="宋体"/>
                <w:sz w:val="24"/>
                <w:szCs w:val="24"/>
              </w:rPr>
            </w:pPr>
            <w:r>
              <w:rPr>
                <w:rFonts w:ascii="宋体" w:hAnsi="宋体" w:eastAsia="宋体" w:cs="宋体"/>
                <w:spacing w:val="-6"/>
                <w:sz w:val="24"/>
                <w:szCs w:val="24"/>
              </w:rPr>
              <w:t>时间</w:t>
            </w:r>
          </w:p>
        </w:tc>
        <w:tc>
          <w:tcPr>
            <w:tcW w:w="1649" w:type="dxa"/>
            <w:vAlign w:val="top"/>
          </w:tcPr>
          <w:p w14:paraId="537C8E37">
            <w:pPr>
              <w:pStyle w:val="27"/>
              <w:spacing w:line="271" w:lineRule="auto"/>
            </w:pPr>
          </w:p>
          <w:p w14:paraId="40378D6E">
            <w:pPr>
              <w:spacing w:before="78" w:line="363" w:lineRule="auto"/>
              <w:ind w:left="711" w:right="217" w:hanging="479"/>
              <w:rPr>
                <w:rFonts w:ascii="宋体" w:hAnsi="宋体" w:eastAsia="宋体" w:cs="宋体"/>
                <w:sz w:val="24"/>
                <w:szCs w:val="24"/>
              </w:rPr>
            </w:pPr>
            <w:r>
              <w:rPr>
                <w:rFonts w:ascii="宋体" w:hAnsi="宋体" w:eastAsia="宋体" w:cs="宋体"/>
                <w:spacing w:val="-3"/>
                <w:sz w:val="24"/>
                <w:szCs w:val="24"/>
              </w:rPr>
              <w:t>客户拜访记</w:t>
            </w:r>
            <w:r>
              <w:rPr>
                <w:rFonts w:ascii="宋体" w:hAnsi="宋体" w:eastAsia="宋体" w:cs="宋体"/>
                <w:sz w:val="24"/>
                <w:szCs w:val="24"/>
              </w:rPr>
              <w:t>录</w:t>
            </w:r>
          </w:p>
        </w:tc>
        <w:tc>
          <w:tcPr>
            <w:tcW w:w="1587" w:type="dxa"/>
            <w:vAlign w:val="top"/>
          </w:tcPr>
          <w:p w14:paraId="2FC20362">
            <w:pPr>
              <w:pStyle w:val="27"/>
              <w:spacing w:line="251" w:lineRule="auto"/>
            </w:pPr>
          </w:p>
          <w:p w14:paraId="70F12B03">
            <w:pPr>
              <w:pStyle w:val="27"/>
              <w:spacing w:line="252" w:lineRule="auto"/>
            </w:pPr>
          </w:p>
          <w:p w14:paraId="293C0AF6">
            <w:pPr>
              <w:spacing w:before="78" w:line="220" w:lineRule="auto"/>
              <w:ind w:left="199"/>
              <w:rPr>
                <w:rFonts w:ascii="宋体" w:hAnsi="宋体" w:eastAsia="宋体" w:cs="宋体"/>
                <w:sz w:val="24"/>
                <w:szCs w:val="24"/>
              </w:rPr>
            </w:pPr>
            <w:r>
              <w:rPr>
                <w:rFonts w:ascii="宋体" w:hAnsi="宋体" w:eastAsia="宋体" w:cs="宋体"/>
                <w:spacing w:val="-2"/>
                <w:sz w:val="24"/>
                <w:szCs w:val="24"/>
              </w:rPr>
              <w:t>运维部经理</w:t>
            </w:r>
          </w:p>
        </w:tc>
      </w:tr>
      <w:tr w14:paraId="437A9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3946" w:type="dxa"/>
            <w:vAlign w:val="top"/>
          </w:tcPr>
          <w:p w14:paraId="3E85D740">
            <w:pPr>
              <w:spacing w:before="119" w:line="310" w:lineRule="auto"/>
              <w:ind w:left="116" w:right="104" w:hanging="1"/>
              <w:rPr>
                <w:rFonts w:ascii="宋体" w:hAnsi="宋体" w:eastAsia="宋体" w:cs="宋体"/>
                <w:sz w:val="24"/>
                <w:szCs w:val="24"/>
              </w:rPr>
            </w:pPr>
            <w:r>
              <w:rPr>
                <w:rFonts w:ascii="宋体" w:hAnsi="宋体" w:eastAsia="宋体" w:cs="宋体"/>
                <w:spacing w:val="-8"/>
                <w:sz w:val="24"/>
                <w:szCs w:val="24"/>
              </w:rPr>
              <w:t>各专业开展用户满意度调查，并对结</w:t>
            </w:r>
            <w:r>
              <w:rPr>
                <w:rFonts w:ascii="宋体" w:hAnsi="宋体" w:eastAsia="宋体" w:cs="宋体"/>
                <w:spacing w:val="-3"/>
                <w:sz w:val="24"/>
                <w:szCs w:val="24"/>
              </w:rPr>
              <w:t>果进行分析</w:t>
            </w:r>
          </w:p>
        </w:tc>
        <w:tc>
          <w:tcPr>
            <w:tcW w:w="2124" w:type="dxa"/>
            <w:vAlign w:val="top"/>
          </w:tcPr>
          <w:p w14:paraId="0E1405BC">
            <w:pPr>
              <w:pStyle w:val="27"/>
              <w:spacing w:line="271" w:lineRule="auto"/>
            </w:pPr>
          </w:p>
          <w:p w14:paraId="2D4E15C0">
            <w:pPr>
              <w:spacing w:before="78" w:line="220" w:lineRule="auto"/>
              <w:ind w:left="586"/>
              <w:rPr>
                <w:rFonts w:ascii="宋体" w:hAnsi="宋体" w:eastAsia="宋体" w:cs="宋体"/>
                <w:sz w:val="24"/>
                <w:szCs w:val="24"/>
              </w:rPr>
            </w:pPr>
            <w:r>
              <w:rPr>
                <w:rFonts w:ascii="宋体" w:hAnsi="宋体" w:eastAsia="宋体" w:cs="宋体"/>
                <w:spacing w:val="-3"/>
                <w:sz w:val="24"/>
                <w:szCs w:val="24"/>
              </w:rPr>
              <w:t>每月一次</w:t>
            </w:r>
          </w:p>
        </w:tc>
        <w:tc>
          <w:tcPr>
            <w:tcW w:w="1649" w:type="dxa"/>
            <w:vAlign w:val="top"/>
          </w:tcPr>
          <w:p w14:paraId="74675A7C">
            <w:pPr>
              <w:spacing w:before="119" w:line="310" w:lineRule="auto"/>
              <w:ind w:left="709" w:right="217" w:hanging="479"/>
              <w:rPr>
                <w:rFonts w:ascii="宋体" w:hAnsi="宋体" w:eastAsia="宋体" w:cs="宋体"/>
                <w:sz w:val="24"/>
                <w:szCs w:val="24"/>
              </w:rPr>
            </w:pPr>
            <w:r>
              <w:rPr>
                <w:rFonts w:ascii="宋体" w:hAnsi="宋体" w:eastAsia="宋体" w:cs="宋体"/>
                <w:spacing w:val="-2"/>
                <w:sz w:val="24"/>
                <w:szCs w:val="24"/>
              </w:rPr>
              <w:t>满意度调查</w:t>
            </w:r>
            <w:r>
              <w:rPr>
                <w:rFonts w:ascii="宋体" w:hAnsi="宋体" w:eastAsia="宋体" w:cs="宋体"/>
                <w:sz w:val="24"/>
                <w:szCs w:val="24"/>
              </w:rPr>
              <w:t>表</w:t>
            </w:r>
          </w:p>
        </w:tc>
        <w:tc>
          <w:tcPr>
            <w:tcW w:w="1587" w:type="dxa"/>
            <w:vAlign w:val="top"/>
          </w:tcPr>
          <w:p w14:paraId="6C99C682">
            <w:pPr>
              <w:spacing w:before="119" w:line="310" w:lineRule="auto"/>
              <w:ind w:left="448" w:right="186" w:hanging="248"/>
              <w:rPr>
                <w:rFonts w:hint="eastAsia" w:ascii="宋体" w:hAnsi="宋体" w:eastAsia="宋体" w:cs="宋体"/>
                <w:sz w:val="24"/>
                <w:szCs w:val="24"/>
                <w:lang w:val="en-US" w:eastAsia="zh-CN"/>
              </w:rPr>
            </w:pPr>
            <w:r>
              <w:rPr>
                <w:rFonts w:ascii="宋体" w:hAnsi="宋体" w:eastAsia="宋体" w:cs="宋体"/>
                <w:spacing w:val="-3"/>
                <w:sz w:val="24"/>
                <w:szCs w:val="24"/>
              </w:rPr>
              <w:t>质量部</w:t>
            </w:r>
            <w:r>
              <w:rPr>
                <w:rFonts w:hint="eastAsia" w:ascii="宋体" w:hAnsi="宋体" w:eastAsia="宋体" w:cs="宋体"/>
                <w:spacing w:val="-3"/>
                <w:sz w:val="24"/>
                <w:szCs w:val="24"/>
                <w:lang w:val="en-US" w:eastAsia="zh-CN"/>
              </w:rPr>
              <w:t>经理</w:t>
            </w:r>
          </w:p>
        </w:tc>
      </w:tr>
      <w:tr w14:paraId="14A5D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3" w:hRule="atLeast"/>
        </w:trPr>
        <w:tc>
          <w:tcPr>
            <w:tcW w:w="3946" w:type="dxa"/>
            <w:vAlign w:val="top"/>
          </w:tcPr>
          <w:p w14:paraId="62E24134">
            <w:pPr>
              <w:pStyle w:val="27"/>
              <w:spacing w:line="252" w:lineRule="auto"/>
            </w:pPr>
          </w:p>
          <w:p w14:paraId="1FA33D51">
            <w:pPr>
              <w:pStyle w:val="27"/>
              <w:spacing w:line="253" w:lineRule="auto"/>
            </w:pPr>
          </w:p>
          <w:p w14:paraId="63198AFB">
            <w:pPr>
              <w:spacing w:before="78" w:line="220" w:lineRule="auto"/>
              <w:ind w:left="112"/>
              <w:rPr>
                <w:rFonts w:ascii="宋体" w:hAnsi="宋体" w:eastAsia="宋体" w:cs="宋体"/>
                <w:sz w:val="24"/>
                <w:szCs w:val="24"/>
              </w:rPr>
            </w:pPr>
            <w:r>
              <w:rPr>
                <w:rFonts w:ascii="宋体" w:hAnsi="宋体" w:eastAsia="宋体" w:cs="宋体"/>
                <w:spacing w:val="-1"/>
                <w:sz w:val="24"/>
                <w:szCs w:val="24"/>
              </w:rPr>
              <w:t>满意度调查分析汇总</w:t>
            </w:r>
          </w:p>
        </w:tc>
        <w:tc>
          <w:tcPr>
            <w:tcW w:w="2124" w:type="dxa"/>
            <w:vAlign w:val="top"/>
          </w:tcPr>
          <w:p w14:paraId="5042F15F">
            <w:pPr>
              <w:pStyle w:val="27"/>
              <w:spacing w:line="252" w:lineRule="auto"/>
            </w:pPr>
          </w:p>
          <w:p w14:paraId="72F58137">
            <w:pPr>
              <w:pStyle w:val="27"/>
              <w:spacing w:line="253" w:lineRule="auto"/>
            </w:pPr>
          </w:p>
          <w:p w14:paraId="2D13F702">
            <w:pPr>
              <w:spacing w:before="78" w:line="220" w:lineRule="auto"/>
              <w:ind w:left="706"/>
              <w:rPr>
                <w:rFonts w:ascii="宋体" w:hAnsi="宋体" w:eastAsia="宋体" w:cs="宋体"/>
                <w:sz w:val="24"/>
                <w:szCs w:val="24"/>
              </w:rPr>
            </w:pPr>
            <w:r>
              <w:rPr>
                <w:rFonts w:ascii="宋体" w:hAnsi="宋体" w:eastAsia="宋体" w:cs="宋体"/>
                <w:spacing w:val="-3"/>
                <w:sz w:val="24"/>
                <w:szCs w:val="24"/>
              </w:rPr>
              <w:t>每季度</w:t>
            </w:r>
          </w:p>
        </w:tc>
        <w:tc>
          <w:tcPr>
            <w:tcW w:w="1649" w:type="dxa"/>
            <w:vAlign w:val="top"/>
          </w:tcPr>
          <w:p w14:paraId="5FFBC012">
            <w:pPr>
              <w:spacing w:before="118" w:line="220" w:lineRule="auto"/>
              <w:ind w:left="232"/>
              <w:rPr>
                <w:rFonts w:ascii="宋体" w:hAnsi="宋体" w:eastAsia="宋体" w:cs="宋体"/>
                <w:sz w:val="24"/>
                <w:szCs w:val="24"/>
              </w:rPr>
            </w:pPr>
            <w:r>
              <w:rPr>
                <w:rFonts w:ascii="宋体" w:hAnsi="宋体" w:eastAsia="宋体" w:cs="宋体"/>
                <w:spacing w:val="-2"/>
                <w:sz w:val="24"/>
                <w:szCs w:val="24"/>
              </w:rPr>
              <w:t>客户满意度</w:t>
            </w:r>
          </w:p>
          <w:p w14:paraId="2647F660">
            <w:pPr>
              <w:spacing w:before="182" w:line="310" w:lineRule="auto"/>
              <w:ind w:left="715" w:right="217" w:hanging="483"/>
              <w:rPr>
                <w:rFonts w:ascii="宋体" w:hAnsi="宋体" w:eastAsia="宋体" w:cs="宋体"/>
                <w:sz w:val="24"/>
                <w:szCs w:val="24"/>
              </w:rPr>
            </w:pPr>
            <w:r>
              <w:rPr>
                <w:rFonts w:ascii="宋体" w:hAnsi="宋体" w:eastAsia="宋体" w:cs="宋体"/>
                <w:spacing w:val="-3"/>
                <w:sz w:val="24"/>
                <w:szCs w:val="24"/>
              </w:rPr>
              <w:t>调查分析报</w:t>
            </w:r>
            <w:r>
              <w:rPr>
                <w:rFonts w:ascii="宋体" w:hAnsi="宋体" w:eastAsia="宋体" w:cs="宋体"/>
                <w:sz w:val="24"/>
                <w:szCs w:val="24"/>
              </w:rPr>
              <w:t>告</w:t>
            </w:r>
          </w:p>
        </w:tc>
        <w:tc>
          <w:tcPr>
            <w:tcW w:w="1587" w:type="dxa"/>
            <w:vAlign w:val="top"/>
          </w:tcPr>
          <w:p w14:paraId="4D3D72C4">
            <w:pPr>
              <w:pStyle w:val="27"/>
              <w:spacing w:line="273" w:lineRule="auto"/>
            </w:pPr>
          </w:p>
          <w:p w14:paraId="07CD33E7">
            <w:pPr>
              <w:spacing w:before="78" w:line="362" w:lineRule="auto"/>
              <w:ind w:left="448" w:right="186" w:hanging="248"/>
              <w:rPr>
                <w:rFonts w:ascii="宋体" w:hAnsi="宋体" w:eastAsia="宋体" w:cs="宋体"/>
                <w:sz w:val="24"/>
                <w:szCs w:val="24"/>
              </w:rPr>
            </w:pPr>
            <w:r>
              <w:rPr>
                <w:rFonts w:ascii="宋体" w:hAnsi="宋体" w:eastAsia="宋体" w:cs="宋体"/>
                <w:spacing w:val="-3"/>
                <w:sz w:val="24"/>
                <w:szCs w:val="24"/>
              </w:rPr>
              <w:t>质量部</w:t>
            </w:r>
            <w:r>
              <w:rPr>
                <w:rFonts w:hint="eastAsia" w:ascii="宋体" w:hAnsi="宋体" w:eastAsia="宋体" w:cs="宋体"/>
                <w:spacing w:val="-3"/>
                <w:sz w:val="24"/>
                <w:szCs w:val="24"/>
                <w:lang w:val="en-US" w:eastAsia="zh-CN"/>
              </w:rPr>
              <w:t>经理</w:t>
            </w:r>
          </w:p>
        </w:tc>
      </w:tr>
      <w:tr w14:paraId="07BF5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8" w:hRule="atLeast"/>
        </w:trPr>
        <w:tc>
          <w:tcPr>
            <w:tcW w:w="3946" w:type="dxa"/>
            <w:vAlign w:val="top"/>
          </w:tcPr>
          <w:p w14:paraId="78955482">
            <w:pPr>
              <w:pStyle w:val="27"/>
              <w:spacing w:line="274" w:lineRule="auto"/>
            </w:pPr>
          </w:p>
          <w:p w14:paraId="0B81775E">
            <w:pPr>
              <w:spacing w:before="78" w:line="362" w:lineRule="auto"/>
              <w:ind w:left="114" w:right="104"/>
              <w:rPr>
                <w:rFonts w:ascii="宋体" w:hAnsi="宋体" w:eastAsia="宋体" w:cs="宋体"/>
                <w:sz w:val="24"/>
                <w:szCs w:val="24"/>
              </w:rPr>
            </w:pPr>
            <w:r>
              <w:rPr>
                <w:rFonts w:ascii="宋体" w:hAnsi="宋体" w:eastAsia="宋体" w:cs="宋体"/>
                <w:spacing w:val="-9"/>
                <w:sz w:val="24"/>
                <w:szCs w:val="24"/>
              </w:rPr>
              <w:t>调查</w:t>
            </w:r>
            <w:r>
              <w:rPr>
                <w:rFonts w:ascii="宋体" w:hAnsi="宋体" w:eastAsia="宋体" w:cs="宋体"/>
                <w:spacing w:val="-39"/>
                <w:sz w:val="24"/>
                <w:szCs w:val="24"/>
              </w:rPr>
              <w:t xml:space="preserve"> </w:t>
            </w:r>
            <w:r>
              <w:rPr>
                <w:rFonts w:ascii="宋体" w:hAnsi="宋体" w:eastAsia="宋体" w:cs="宋体"/>
                <w:spacing w:val="-9"/>
                <w:sz w:val="24"/>
                <w:szCs w:val="24"/>
              </w:rPr>
              <w:t>SLA</w:t>
            </w:r>
            <w:r>
              <w:rPr>
                <w:rFonts w:ascii="宋体" w:hAnsi="宋体" w:eastAsia="宋体" w:cs="宋体"/>
                <w:spacing w:val="-52"/>
                <w:sz w:val="24"/>
                <w:szCs w:val="24"/>
              </w:rPr>
              <w:t xml:space="preserve"> </w:t>
            </w:r>
            <w:r>
              <w:rPr>
                <w:rFonts w:ascii="宋体" w:hAnsi="宋体" w:eastAsia="宋体" w:cs="宋体"/>
                <w:spacing w:val="-9"/>
                <w:sz w:val="24"/>
                <w:szCs w:val="24"/>
              </w:rPr>
              <w:t>达成率是否能够满足，并尽</w:t>
            </w:r>
            <w:r>
              <w:rPr>
                <w:rFonts w:ascii="宋体" w:hAnsi="宋体" w:eastAsia="宋体" w:cs="宋体"/>
                <w:spacing w:val="-2"/>
                <w:sz w:val="24"/>
                <w:szCs w:val="24"/>
              </w:rPr>
              <w:t>可能挖掘新的服务</w:t>
            </w:r>
          </w:p>
        </w:tc>
        <w:tc>
          <w:tcPr>
            <w:tcW w:w="2124" w:type="dxa"/>
            <w:vAlign w:val="top"/>
          </w:tcPr>
          <w:p w14:paraId="5AF1E968">
            <w:pPr>
              <w:pStyle w:val="27"/>
              <w:spacing w:line="274" w:lineRule="auto"/>
            </w:pPr>
          </w:p>
          <w:p w14:paraId="13F65A66">
            <w:pPr>
              <w:spacing w:before="78" w:line="362" w:lineRule="auto"/>
              <w:ind w:left="346" w:right="217" w:hanging="122"/>
              <w:rPr>
                <w:rFonts w:ascii="宋体" w:hAnsi="宋体" w:eastAsia="宋体" w:cs="宋体"/>
                <w:sz w:val="24"/>
                <w:szCs w:val="24"/>
              </w:rPr>
            </w:pPr>
            <w:r>
              <w:rPr>
                <w:rFonts w:ascii="宋体" w:hAnsi="宋体" w:eastAsia="宋体" w:cs="宋体"/>
                <w:spacing w:val="-2"/>
                <w:sz w:val="24"/>
                <w:szCs w:val="24"/>
              </w:rPr>
              <w:t>进行满意度调查和拜访用户时</w:t>
            </w:r>
          </w:p>
        </w:tc>
        <w:tc>
          <w:tcPr>
            <w:tcW w:w="1649" w:type="dxa"/>
            <w:vAlign w:val="top"/>
          </w:tcPr>
          <w:p w14:paraId="4A508B1F">
            <w:pPr>
              <w:pStyle w:val="27"/>
              <w:spacing w:line="273" w:lineRule="auto"/>
            </w:pPr>
          </w:p>
          <w:p w14:paraId="21734691">
            <w:pPr>
              <w:spacing w:before="78" w:line="363" w:lineRule="auto"/>
              <w:ind w:left="600" w:right="217" w:hanging="368"/>
              <w:rPr>
                <w:rFonts w:ascii="宋体" w:hAnsi="宋体" w:eastAsia="宋体" w:cs="宋体"/>
                <w:sz w:val="24"/>
                <w:szCs w:val="24"/>
              </w:rPr>
            </w:pPr>
            <w:r>
              <w:rPr>
                <w:rFonts w:ascii="宋体" w:hAnsi="宋体" w:eastAsia="宋体" w:cs="宋体"/>
                <w:spacing w:val="-3"/>
                <w:sz w:val="24"/>
                <w:szCs w:val="24"/>
              </w:rPr>
              <w:t>客户反馈信</w:t>
            </w:r>
            <w:r>
              <w:rPr>
                <w:rFonts w:ascii="宋体" w:hAnsi="宋体" w:eastAsia="宋体" w:cs="宋体"/>
                <w:spacing w:val="-5"/>
                <w:sz w:val="24"/>
                <w:szCs w:val="24"/>
              </w:rPr>
              <w:t>息表</w:t>
            </w:r>
          </w:p>
        </w:tc>
        <w:tc>
          <w:tcPr>
            <w:tcW w:w="1587" w:type="dxa"/>
            <w:vAlign w:val="top"/>
          </w:tcPr>
          <w:p w14:paraId="78A2C8A4">
            <w:pPr>
              <w:spacing w:before="181" w:line="312" w:lineRule="auto"/>
              <w:ind w:left="680" w:right="186" w:hanging="480"/>
              <w:rPr>
                <w:rFonts w:hint="default" w:ascii="宋体" w:hAnsi="宋体" w:eastAsia="宋体" w:cs="宋体"/>
                <w:sz w:val="24"/>
                <w:szCs w:val="24"/>
                <w:lang w:val="en-US" w:eastAsia="zh-CN"/>
              </w:rPr>
            </w:pPr>
            <w:r>
              <w:rPr>
                <w:rFonts w:hint="eastAsia" w:ascii="宋体" w:hAnsi="宋体" w:eastAsia="宋体" w:cs="宋体"/>
                <w:spacing w:val="-2"/>
                <w:sz w:val="24"/>
                <w:szCs w:val="24"/>
                <w:lang w:val="en-US" w:eastAsia="zh-CN"/>
              </w:rPr>
              <w:t>运维部经理</w:t>
            </w:r>
          </w:p>
        </w:tc>
      </w:tr>
    </w:tbl>
    <w:p w14:paraId="646CB7F1">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10" w:name="bookmark3"/>
      <w:bookmarkEnd w:id="10"/>
      <w:bookmarkStart w:id="11" w:name="_Toc26732"/>
      <w:bookmarkStart w:id="12" w:name="_Toc17424"/>
      <w:bookmarkStart w:id="16" w:name="_GoBack"/>
      <w:bookmarkEnd w:id="16"/>
      <w:r>
        <w:rPr>
          <w:rStyle w:val="38"/>
          <w:rFonts w:hint="eastAsia" w:eastAsia="宋体"/>
          <w:lang w:val="en-US" w:eastAsia="zh-CN"/>
        </w:rPr>
        <w:t>附则</w:t>
      </w:r>
      <w:bookmarkEnd w:id="11"/>
      <w:bookmarkEnd w:id="12"/>
    </w:p>
    <w:p w14:paraId="282C941D">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质量</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55478B85">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9412FC6">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bookmark14"/>
      <w:bookmarkEnd w:id="13"/>
      <w:bookmarkStart w:id="14" w:name="_Toc3387"/>
      <w:r>
        <w:rPr>
          <w:rFonts w:hint="eastAsia"/>
          <w:lang w:val="en-US" w:eastAsia="zh-CN"/>
        </w:rPr>
        <w:t>附件</w:t>
      </w:r>
      <w:bookmarkEnd w:id="14"/>
    </w:p>
    <w:p w14:paraId="4F87F084">
      <w:pPr>
        <w:pStyle w:val="29"/>
        <w:numPr>
          <w:ilvl w:val="0"/>
          <w:numId w:val="6"/>
        </w:numPr>
        <w:ind w:left="425" w:leftChars="0" w:hanging="425" w:firstLineChars="0"/>
        <w:rPr>
          <w:rFonts w:hint="default"/>
          <w:lang w:val="en-US" w:eastAsia="zh-CN"/>
        </w:rPr>
      </w:pPr>
      <w:r>
        <w:rPr>
          <w:rFonts w:hint="default"/>
          <w:lang w:val="en-US" w:eastAsia="zh-CN"/>
        </w:rPr>
        <w:t>《内部审核检查表》</w:t>
      </w:r>
    </w:p>
    <w:p w14:paraId="520D91DD">
      <w:pPr>
        <w:pStyle w:val="29"/>
        <w:numPr>
          <w:ilvl w:val="0"/>
          <w:numId w:val="6"/>
        </w:numPr>
        <w:ind w:left="425" w:leftChars="0" w:hanging="425" w:firstLineChars="0"/>
        <w:rPr>
          <w:rFonts w:hint="default"/>
          <w:lang w:val="en-US" w:eastAsia="zh-CN"/>
        </w:rPr>
      </w:pPr>
      <w:r>
        <w:rPr>
          <w:rFonts w:hint="default"/>
          <w:lang w:val="en-US" w:eastAsia="zh-CN"/>
        </w:rPr>
        <w:t>《纠正与预防措施报告》</w:t>
      </w:r>
    </w:p>
    <w:p w14:paraId="1B2FD6D9">
      <w:pPr>
        <w:pStyle w:val="29"/>
        <w:numPr>
          <w:ilvl w:val="0"/>
          <w:numId w:val="6"/>
        </w:numPr>
        <w:ind w:left="425" w:leftChars="0" w:hanging="425" w:firstLineChars="0"/>
        <w:rPr>
          <w:rFonts w:hint="default"/>
          <w:lang w:val="en-US" w:eastAsia="zh-CN"/>
        </w:rPr>
      </w:pPr>
      <w:r>
        <w:rPr>
          <w:rFonts w:hint="default"/>
          <w:lang w:val="en-US" w:eastAsia="zh-CN"/>
        </w:rPr>
        <w:t>《服务质量保证计划》（模板）</w:t>
      </w:r>
    </w:p>
    <w:p w14:paraId="723139A1">
      <w:pPr>
        <w:pStyle w:val="29"/>
        <w:numPr>
          <w:ilvl w:val="0"/>
          <w:numId w:val="6"/>
        </w:numPr>
        <w:ind w:left="425" w:leftChars="0" w:hanging="425" w:firstLineChars="0"/>
        <w:rPr>
          <w:rFonts w:hint="default"/>
          <w:lang w:val="en-US" w:eastAsia="zh-CN"/>
        </w:rPr>
      </w:pPr>
      <w:r>
        <w:rPr>
          <w:rFonts w:hint="default"/>
          <w:lang w:val="en-US" w:eastAsia="zh-CN"/>
        </w:rPr>
        <w:t>《客户满意度调查表》</w:t>
      </w:r>
    </w:p>
    <w:p w14:paraId="4863664D">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5" w:name="_Toc16438"/>
      <w:r>
        <w:rPr>
          <w:rFonts w:hint="eastAsia"/>
          <w:lang w:val="en-US" w:eastAsia="zh-CN"/>
        </w:rPr>
        <w:t>记录</w:t>
      </w:r>
      <w:bookmarkEnd w:id="15"/>
    </w:p>
    <w:p w14:paraId="01B35242">
      <w:pPr>
        <w:pStyle w:val="29"/>
        <w:numPr>
          <w:ilvl w:val="0"/>
          <w:numId w:val="7"/>
        </w:numPr>
        <w:ind w:left="425" w:leftChars="0" w:hanging="425" w:firstLineChars="0"/>
        <w:rPr>
          <w:rFonts w:hint="eastAsia"/>
          <w:lang w:val="en-US" w:eastAsia="zh-CN"/>
        </w:rPr>
      </w:pPr>
      <w:r>
        <w:rPr>
          <w:rFonts w:hint="eastAsia"/>
          <w:lang w:val="en-US" w:eastAsia="zh-CN"/>
        </w:rPr>
        <w:t>《内部审核报告》</w:t>
      </w:r>
    </w:p>
    <w:p w14:paraId="23AC107A">
      <w:pPr>
        <w:pStyle w:val="29"/>
        <w:numPr>
          <w:ilvl w:val="0"/>
          <w:numId w:val="7"/>
        </w:numPr>
        <w:ind w:left="425" w:leftChars="0" w:hanging="425" w:firstLineChars="0"/>
        <w:rPr>
          <w:rFonts w:hint="eastAsia"/>
          <w:lang w:val="en-US" w:eastAsia="zh-CN"/>
        </w:rPr>
      </w:pPr>
      <w:r>
        <w:rPr>
          <w:rFonts w:hint="eastAsia"/>
          <w:lang w:val="en-US" w:eastAsia="zh-CN"/>
        </w:rPr>
        <w:t>《管理评审报告》</w:t>
      </w:r>
    </w:p>
    <w:p w14:paraId="5E2FBF4D">
      <w:pPr>
        <w:pStyle w:val="29"/>
        <w:numPr>
          <w:ilvl w:val="0"/>
          <w:numId w:val="7"/>
        </w:numPr>
        <w:ind w:left="425" w:leftChars="0" w:hanging="425" w:firstLineChars="0"/>
        <w:rPr>
          <w:rFonts w:hint="eastAsia"/>
          <w:lang w:val="en-US" w:eastAsia="zh-CN"/>
        </w:rPr>
      </w:pPr>
      <w:r>
        <w:rPr>
          <w:rFonts w:hint="eastAsia"/>
          <w:lang w:val="en-US" w:eastAsia="zh-CN"/>
        </w:rPr>
        <w:t>《月度/季度质量分析报告》</w:t>
      </w:r>
    </w:p>
    <w:p w14:paraId="6761EB21">
      <w:pPr>
        <w:pStyle w:val="29"/>
        <w:numPr>
          <w:ilvl w:val="0"/>
          <w:numId w:val="7"/>
        </w:numPr>
        <w:ind w:left="425" w:leftChars="0" w:hanging="425" w:firstLineChars="0"/>
        <w:rPr>
          <w:rFonts w:hint="eastAsia"/>
          <w:lang w:val="en-US" w:eastAsia="zh-CN"/>
        </w:rPr>
      </w:pPr>
      <w:r>
        <w:rPr>
          <w:rFonts w:hint="eastAsia"/>
          <w:lang w:val="en-US" w:eastAsia="zh-CN"/>
        </w:rPr>
        <w:t>《客户满意度调查分析报告》</w:t>
      </w:r>
    </w:p>
    <w:p w14:paraId="4A467657">
      <w:pPr>
        <w:pStyle w:val="29"/>
        <w:numPr>
          <w:ilvl w:val="0"/>
          <w:numId w:val="7"/>
        </w:numPr>
        <w:ind w:left="425" w:leftChars="0" w:hanging="425" w:firstLineChars="0"/>
        <w:rPr>
          <w:rFonts w:hint="eastAsia"/>
          <w:lang w:val="en-US" w:eastAsia="zh-CN"/>
        </w:rPr>
      </w:pPr>
      <w:r>
        <w:rPr>
          <w:rFonts w:hint="eastAsia"/>
          <w:lang w:val="en-US" w:eastAsia="zh-CN"/>
        </w:rPr>
        <w:t>《服务报告》</w:t>
      </w:r>
    </w:p>
    <w:p w14:paraId="4361A416">
      <w:pPr>
        <w:pStyle w:val="29"/>
        <w:numPr>
          <w:ilvl w:val="0"/>
          <w:numId w:val="7"/>
        </w:numPr>
        <w:ind w:left="425" w:leftChars="0" w:hanging="425" w:firstLineChars="0"/>
        <w:rPr>
          <w:rFonts w:hint="eastAsia"/>
          <w:lang w:val="en-US" w:eastAsia="zh-CN"/>
        </w:rPr>
      </w:pPr>
      <w:r>
        <w:rPr>
          <w:rFonts w:hint="eastAsia"/>
          <w:lang w:val="en-US" w:eastAsia="zh-CN"/>
        </w:rPr>
        <w:t>《客户拜访记录表》</w:t>
      </w:r>
    </w:p>
    <w:p w14:paraId="05F117FD">
      <w:pPr>
        <w:pStyle w:val="29"/>
        <w:rPr>
          <w:rFonts w:hint="eastAsia"/>
          <w:lang w:val="en-US" w:eastAsia="zh-CN"/>
        </w:rPr>
      </w:pPr>
      <w:r>
        <w:rPr>
          <w:rFonts w:hint="eastAsia"/>
          <w:lang w:val="en-US" w:eastAsia="zh-CN"/>
        </w:rPr>
        <w:t>所有记录由质量部统一归档，保存期限不少于3年。</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9F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drawing>
        <wp:anchor distT="0" distB="0" distL="114300" distR="114300" simplePos="0" relativeHeight="251660288" behindDoc="0" locked="0" layoutInCell="1" allowOverlap="1">
          <wp:simplePos x="0" y="0"/>
          <wp:positionH relativeFrom="column">
            <wp:posOffset>67310</wp:posOffset>
          </wp:positionH>
          <wp:positionV relativeFrom="paragraph">
            <wp:posOffset>-345440</wp:posOffset>
          </wp:positionV>
          <wp:extent cx="718820" cy="461010"/>
          <wp:effectExtent l="0" t="0" r="12700" b="11430"/>
          <wp:wrapNone/>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
                  <a:stretch>
                    <a:fillRect/>
                  </a:stretch>
                </pic:blipFill>
                <pic:spPr>
                  <a:xfrm>
                    <a:off x="0" y="0"/>
                    <a:ext cx="718820" cy="461010"/>
                  </a:xfrm>
                  <a:prstGeom prst="rect">
                    <a:avLst/>
                  </a:prstGeom>
                </pic:spPr>
              </pic:pic>
            </a:graphicData>
          </a:graphic>
        </wp:anchor>
      </w:drawing>
    </w: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阿克苏智汇人才服务</w:t>
    </w:r>
    <w:r>
      <w:rPr>
        <w:rFonts w:hint="eastAsia" w:eastAsiaTheme="minorEastAsia"/>
        <w:lang w:eastAsia="zh-CN"/>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6E705"/>
    <w:multiLevelType w:val="singleLevel"/>
    <w:tmpl w:val="8586E705"/>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9701F65D"/>
    <w:multiLevelType w:val="singleLevel"/>
    <w:tmpl w:val="9701F65D"/>
    <w:lvl w:ilvl="0" w:tentative="0">
      <w:start w:val="1"/>
      <w:numFmt w:val="decimal"/>
      <w:lvlText w:val="%1."/>
      <w:lvlJc w:val="left"/>
      <w:pPr>
        <w:ind w:left="425" w:hanging="425"/>
      </w:pPr>
      <w:rPr>
        <w:rFonts w:hint="default"/>
      </w:rPr>
    </w:lvl>
  </w:abstractNum>
  <w:abstractNum w:abstractNumId="3">
    <w:nsid w:val="976136C6"/>
    <w:multiLevelType w:val="singleLevel"/>
    <w:tmpl w:val="976136C6"/>
    <w:lvl w:ilvl="0" w:tentative="0">
      <w:start w:val="1"/>
      <w:numFmt w:val="decimal"/>
      <w:lvlText w:val="%1."/>
      <w:lvlJc w:val="left"/>
      <w:pPr>
        <w:ind w:left="425" w:hanging="425"/>
      </w:pPr>
      <w:rPr>
        <w:rFonts w:hint="default"/>
      </w:rPr>
    </w:lvl>
  </w:abstractNum>
  <w:abstractNum w:abstractNumId="4">
    <w:nsid w:val="D90276AA"/>
    <w:multiLevelType w:val="singleLevel"/>
    <w:tmpl w:val="D90276AA"/>
    <w:lvl w:ilvl="0" w:tentative="0">
      <w:start w:val="1"/>
      <w:numFmt w:val="decimal"/>
      <w:lvlText w:val="%1."/>
      <w:lvlJc w:val="left"/>
      <w:pPr>
        <w:ind w:left="425" w:hanging="425"/>
      </w:pPr>
      <w:rPr>
        <w:rFonts w:hint="default"/>
      </w:rPr>
    </w:lvl>
  </w:abstractNum>
  <w:abstractNum w:abstractNumId="5">
    <w:nsid w:val="F9539CF3"/>
    <w:multiLevelType w:val="singleLevel"/>
    <w:tmpl w:val="F9539CF3"/>
    <w:lvl w:ilvl="0" w:tentative="0">
      <w:start w:val="1"/>
      <w:numFmt w:val="decimal"/>
      <w:lvlText w:val="%1."/>
      <w:lvlJc w:val="left"/>
      <w:pPr>
        <w:ind w:left="425" w:hanging="425"/>
      </w:pPr>
      <w:rPr>
        <w:rFonts w:hint="default"/>
      </w:rPr>
    </w:lvl>
  </w:abstractNum>
  <w:abstractNum w:abstractNumId="6">
    <w:nsid w:val="051FF8A0"/>
    <w:multiLevelType w:val="singleLevel"/>
    <w:tmpl w:val="051FF8A0"/>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2"/>
  </w:num>
  <w:num w:numId="4">
    <w:abstractNumId w:val="3"/>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5574E"/>
    <w:rsid w:val="0104303E"/>
    <w:rsid w:val="019127B6"/>
    <w:rsid w:val="01E07299"/>
    <w:rsid w:val="0211124F"/>
    <w:rsid w:val="029C58B6"/>
    <w:rsid w:val="02CE3596"/>
    <w:rsid w:val="02EA4873"/>
    <w:rsid w:val="040604A9"/>
    <w:rsid w:val="05980692"/>
    <w:rsid w:val="05E01F5E"/>
    <w:rsid w:val="07124399"/>
    <w:rsid w:val="073D05DE"/>
    <w:rsid w:val="07660A33"/>
    <w:rsid w:val="080D4B60"/>
    <w:rsid w:val="09975029"/>
    <w:rsid w:val="09D65B51"/>
    <w:rsid w:val="09F2400E"/>
    <w:rsid w:val="09FC6C3A"/>
    <w:rsid w:val="09FE29B2"/>
    <w:rsid w:val="0BF7590B"/>
    <w:rsid w:val="0CF12BAD"/>
    <w:rsid w:val="0E0D0A57"/>
    <w:rsid w:val="0ECD1618"/>
    <w:rsid w:val="0ED6711D"/>
    <w:rsid w:val="0F4F57A4"/>
    <w:rsid w:val="0FD115EF"/>
    <w:rsid w:val="0FD425EE"/>
    <w:rsid w:val="127C6B6A"/>
    <w:rsid w:val="12EB782C"/>
    <w:rsid w:val="130628D8"/>
    <w:rsid w:val="131B2827"/>
    <w:rsid w:val="139879D4"/>
    <w:rsid w:val="13D604FC"/>
    <w:rsid w:val="142257E9"/>
    <w:rsid w:val="14B42767"/>
    <w:rsid w:val="14E46C49"/>
    <w:rsid w:val="15CC7E09"/>
    <w:rsid w:val="15EC2259"/>
    <w:rsid w:val="16AD19E8"/>
    <w:rsid w:val="16B0772A"/>
    <w:rsid w:val="170D06D9"/>
    <w:rsid w:val="17103D25"/>
    <w:rsid w:val="17710C68"/>
    <w:rsid w:val="17BE19D3"/>
    <w:rsid w:val="17DF25E3"/>
    <w:rsid w:val="18002740"/>
    <w:rsid w:val="18846779"/>
    <w:rsid w:val="18F465E3"/>
    <w:rsid w:val="19E020D4"/>
    <w:rsid w:val="1A9923D9"/>
    <w:rsid w:val="1BC709D8"/>
    <w:rsid w:val="1D997E65"/>
    <w:rsid w:val="1DB16262"/>
    <w:rsid w:val="1E692834"/>
    <w:rsid w:val="1EFD1033"/>
    <w:rsid w:val="1FCB1131"/>
    <w:rsid w:val="1FE23785"/>
    <w:rsid w:val="20D91840"/>
    <w:rsid w:val="215C6FE4"/>
    <w:rsid w:val="23A26E72"/>
    <w:rsid w:val="23DD436C"/>
    <w:rsid w:val="23FD59BD"/>
    <w:rsid w:val="2604714B"/>
    <w:rsid w:val="26C427F2"/>
    <w:rsid w:val="2908648D"/>
    <w:rsid w:val="294F2DD3"/>
    <w:rsid w:val="2975663E"/>
    <w:rsid w:val="2A8B6C6D"/>
    <w:rsid w:val="2B612949"/>
    <w:rsid w:val="2E3D769E"/>
    <w:rsid w:val="2E500F2E"/>
    <w:rsid w:val="2E8C55BF"/>
    <w:rsid w:val="2F041F69"/>
    <w:rsid w:val="2FC11C09"/>
    <w:rsid w:val="333746BC"/>
    <w:rsid w:val="346C0F8D"/>
    <w:rsid w:val="347656B7"/>
    <w:rsid w:val="350D601C"/>
    <w:rsid w:val="352F0774"/>
    <w:rsid w:val="35DE67BA"/>
    <w:rsid w:val="36883480"/>
    <w:rsid w:val="36914A2B"/>
    <w:rsid w:val="3699743B"/>
    <w:rsid w:val="375F2433"/>
    <w:rsid w:val="37971BCD"/>
    <w:rsid w:val="37DF17C6"/>
    <w:rsid w:val="37E666B0"/>
    <w:rsid w:val="37F92688"/>
    <w:rsid w:val="3914549F"/>
    <w:rsid w:val="3AB313DC"/>
    <w:rsid w:val="3C265C15"/>
    <w:rsid w:val="3D5F4115"/>
    <w:rsid w:val="3E287A22"/>
    <w:rsid w:val="3E5A3954"/>
    <w:rsid w:val="3F1B7587"/>
    <w:rsid w:val="3F2D2E17"/>
    <w:rsid w:val="40646D0C"/>
    <w:rsid w:val="40760DE8"/>
    <w:rsid w:val="40873B7A"/>
    <w:rsid w:val="40B11D0C"/>
    <w:rsid w:val="40E23A1F"/>
    <w:rsid w:val="41DA54D8"/>
    <w:rsid w:val="426164FC"/>
    <w:rsid w:val="43223C0F"/>
    <w:rsid w:val="4368266F"/>
    <w:rsid w:val="43996CCD"/>
    <w:rsid w:val="44DA759D"/>
    <w:rsid w:val="45EE5265"/>
    <w:rsid w:val="46BF2EEE"/>
    <w:rsid w:val="470E79D1"/>
    <w:rsid w:val="472B0583"/>
    <w:rsid w:val="47BB1907"/>
    <w:rsid w:val="47CA1B4A"/>
    <w:rsid w:val="484F2050"/>
    <w:rsid w:val="48FA020D"/>
    <w:rsid w:val="49B33C44"/>
    <w:rsid w:val="49CC1B61"/>
    <w:rsid w:val="4B13095F"/>
    <w:rsid w:val="4BFB76A0"/>
    <w:rsid w:val="4C6D0CF6"/>
    <w:rsid w:val="4CA566E2"/>
    <w:rsid w:val="4CAD5597"/>
    <w:rsid w:val="4CF42EE2"/>
    <w:rsid w:val="4D1711C1"/>
    <w:rsid w:val="4E0452F6"/>
    <w:rsid w:val="4E0B149B"/>
    <w:rsid w:val="4F6F1974"/>
    <w:rsid w:val="4FD86DCF"/>
    <w:rsid w:val="4FF9121F"/>
    <w:rsid w:val="503F29AA"/>
    <w:rsid w:val="50BE0A71"/>
    <w:rsid w:val="511C5981"/>
    <w:rsid w:val="51724441"/>
    <w:rsid w:val="51F0261E"/>
    <w:rsid w:val="52187956"/>
    <w:rsid w:val="521A205D"/>
    <w:rsid w:val="5486504B"/>
    <w:rsid w:val="54CB7E3C"/>
    <w:rsid w:val="560E52F8"/>
    <w:rsid w:val="5632548A"/>
    <w:rsid w:val="58675193"/>
    <w:rsid w:val="5A405AC7"/>
    <w:rsid w:val="5A6610C0"/>
    <w:rsid w:val="5B0B0058"/>
    <w:rsid w:val="5B5D7E1A"/>
    <w:rsid w:val="5B85605C"/>
    <w:rsid w:val="5C6349A0"/>
    <w:rsid w:val="5D0D6A04"/>
    <w:rsid w:val="5D2E6280"/>
    <w:rsid w:val="5D6677C8"/>
    <w:rsid w:val="5D9C768D"/>
    <w:rsid w:val="5E6A32E8"/>
    <w:rsid w:val="5EFB71CC"/>
    <w:rsid w:val="5F2471FB"/>
    <w:rsid w:val="5F7F1015"/>
    <w:rsid w:val="602677D5"/>
    <w:rsid w:val="60367925"/>
    <w:rsid w:val="60421C7F"/>
    <w:rsid w:val="60C767CF"/>
    <w:rsid w:val="60CA4F9E"/>
    <w:rsid w:val="613E7799"/>
    <w:rsid w:val="61994610"/>
    <w:rsid w:val="6200643D"/>
    <w:rsid w:val="62312EF8"/>
    <w:rsid w:val="63234D5F"/>
    <w:rsid w:val="640721AA"/>
    <w:rsid w:val="652A5B5F"/>
    <w:rsid w:val="654C1999"/>
    <w:rsid w:val="657F3B1C"/>
    <w:rsid w:val="659C092C"/>
    <w:rsid w:val="65C43C25"/>
    <w:rsid w:val="678C0773"/>
    <w:rsid w:val="68804644"/>
    <w:rsid w:val="698F3ABF"/>
    <w:rsid w:val="6BAD2A66"/>
    <w:rsid w:val="6BF30DC0"/>
    <w:rsid w:val="6D834437"/>
    <w:rsid w:val="6DB46CBB"/>
    <w:rsid w:val="6E31797E"/>
    <w:rsid w:val="6E6623CD"/>
    <w:rsid w:val="6F190B3E"/>
    <w:rsid w:val="6F887A72"/>
    <w:rsid w:val="711772FF"/>
    <w:rsid w:val="713003C1"/>
    <w:rsid w:val="7141437C"/>
    <w:rsid w:val="727D7636"/>
    <w:rsid w:val="73593BFF"/>
    <w:rsid w:val="73644352"/>
    <w:rsid w:val="73C7661F"/>
    <w:rsid w:val="745368A0"/>
    <w:rsid w:val="75E33C54"/>
    <w:rsid w:val="75ED4AD2"/>
    <w:rsid w:val="76960176"/>
    <w:rsid w:val="76EC4D8A"/>
    <w:rsid w:val="76F6721A"/>
    <w:rsid w:val="776C1A27"/>
    <w:rsid w:val="783E1615"/>
    <w:rsid w:val="78CA2EA9"/>
    <w:rsid w:val="78D1021F"/>
    <w:rsid w:val="797866AB"/>
    <w:rsid w:val="7A1940E8"/>
    <w:rsid w:val="7A2F7467"/>
    <w:rsid w:val="7A4F266D"/>
    <w:rsid w:val="7AF661D7"/>
    <w:rsid w:val="7B4E6013"/>
    <w:rsid w:val="7B5C70B9"/>
    <w:rsid w:val="7C066719"/>
    <w:rsid w:val="7C077F70"/>
    <w:rsid w:val="7C434C07"/>
    <w:rsid w:val="7D0C7F34"/>
    <w:rsid w:val="7DA168CE"/>
    <w:rsid w:val="7DF905A7"/>
    <w:rsid w:val="7E086FD3"/>
    <w:rsid w:val="7F8244DD"/>
    <w:rsid w:val="7F9B10FB"/>
    <w:rsid w:val="7FE77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2105</Words>
  <Characters>2259</Characters>
  <Lines>0</Lines>
  <Paragraphs>0</Paragraphs>
  <TotalTime>0</TotalTime>
  <ScaleCrop>false</ScaleCrop>
  <LinksUpToDate>false</LinksUpToDate>
  <CharactersWithSpaces>2324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2025-10-23T06:21:05Z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