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运维服务沟通管理制度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</w:t>
            </w:r>
            <w:bookmarkStart w:id="16" w:name="_GoBack"/>
            <w:bookmarkEnd w:id="16"/>
            <w:r>
              <w:rPr>
                <w:rFonts w:hint="eastAsia"/>
                <w:u w:val="single"/>
                <w:vertAlign w:val="baseline"/>
                <w:lang w:val="en-US" w:eastAsia="zh-CN"/>
              </w:rPr>
              <w:t>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6C78290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为规范公司项目执行过程中的沟通管理，确保供需双方及项目各参与方之间信息传递的及时、准确与顺畅，提升协作效率，保障项目目标顺利达成，特制定本制度。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0445CB8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本制度适用于阿克苏智汇人才服务有限公司所有项目人员，包括供方、需方以及其他经需方正式授权的项目参与人员。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4797D3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主动沟通：预见沟通需求，主动发起并推进沟通活动。</w:t>
      </w:r>
    </w:p>
    <w:p w14:paraId="44ECD95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准确一致：确保沟通信息的准确性，维护同一信息在不同渠道的一致性。</w:t>
      </w:r>
    </w:p>
    <w:p w14:paraId="3CD4AE0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及时高效：根据事项的紧急与重要程度，选择适当的渠道与频率，确保信息传递时效。</w:t>
      </w:r>
    </w:p>
    <w:p w14:paraId="3049A6D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记录可溯：重要沟通须留有记录，确保过程与结果可追溯。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1F2F67F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运维部经理</w:t>
      </w:r>
    </w:p>
    <w:p w14:paraId="64C8CD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主导与客户、公司决策层等关键干系人的高层次沟通；明确项目沟通整体策略与要求；定期通报项目沟通总体情况。</w:t>
      </w:r>
    </w:p>
    <w:p w14:paraId="223412A5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运维项目经理</w:t>
      </w:r>
    </w:p>
    <w:p w14:paraId="307B1A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管理项目干系人，确保信息在团队内外有效传递；选择并管理项目沟通方法与媒介；组织完成并保存关键沟通记录。</w:t>
      </w:r>
    </w:p>
    <w:p w14:paraId="0B46AEC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</w:t>
      </w:r>
    </w:p>
    <w:p w14:paraId="5C0FCA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在职责范围内与客户、团队及接口部门进行日常沟通；参与技术讨论与经验交流；结合岗位实践提出合理化建议。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4125206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2852017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公司《运维服务能力管理体系》相关要求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3C13A20F">
      <w:pPr>
        <w:pStyle w:val="30"/>
        <w:bidi w:val="0"/>
        <w:rPr>
          <w:rFonts w:hint="eastAsia"/>
        </w:rPr>
      </w:pPr>
      <w:r>
        <w:rPr>
          <w:rFonts w:hint="eastAsia"/>
        </w:rPr>
        <w:t>正式沟通</w:t>
      </w:r>
    </w:p>
    <w:p w14:paraId="79985F38">
      <w:pPr>
        <w:pStyle w:val="29"/>
        <w:rPr>
          <w:rFonts w:hint="eastAsia"/>
        </w:rPr>
      </w:pPr>
      <w:r>
        <w:rPr>
          <w:rFonts w:hint="eastAsia"/>
        </w:rPr>
        <w:t>通过合同、报告、会议纪要、演讲等预定义渠道和格式进行的沟通，具有强制性，通常需保存记录。</w:t>
      </w:r>
    </w:p>
    <w:p w14:paraId="714D87D0">
      <w:pPr>
        <w:pStyle w:val="30"/>
        <w:bidi w:val="0"/>
        <w:rPr>
          <w:rFonts w:hint="eastAsia"/>
        </w:rPr>
      </w:pPr>
      <w:r>
        <w:rPr>
          <w:rFonts w:hint="eastAsia"/>
        </w:rPr>
        <w:t>非正式沟通</w:t>
      </w:r>
    </w:p>
    <w:p w14:paraId="25A1D0E4">
      <w:pPr>
        <w:pStyle w:val="29"/>
        <w:rPr>
          <w:rFonts w:hint="eastAsia"/>
        </w:rPr>
      </w:pPr>
      <w:r>
        <w:rPr>
          <w:rFonts w:hint="eastAsia"/>
        </w:rPr>
        <w:t>通过谈话、笔记、即时通讯等非固定形式进行的沟通，灵活高效，作为正式沟通的补充。</w:t>
      </w:r>
    </w:p>
    <w:p w14:paraId="7EF93AA7">
      <w:pPr>
        <w:pStyle w:val="30"/>
        <w:bidi w:val="0"/>
        <w:rPr>
          <w:rFonts w:hint="eastAsia"/>
        </w:rPr>
      </w:pPr>
      <w:r>
        <w:rPr>
          <w:rFonts w:hint="eastAsia"/>
        </w:rPr>
        <w:t>干系人</w:t>
      </w:r>
    </w:p>
    <w:p w14:paraId="1E876725">
      <w:pPr>
        <w:pStyle w:val="29"/>
      </w:pPr>
      <w:r>
        <w:rPr>
          <w:rFonts w:hint="eastAsia"/>
        </w:rPr>
        <w:t>任何能影响项目决策、活动或结果的个人、群体或组织。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4646592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沟通规划与定义</w:t>
      </w:r>
    </w:p>
    <w:p w14:paraId="658CEF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项目启动阶段，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应牵头制定初步沟通计划，明确以下内容：</w:t>
      </w:r>
    </w:p>
    <w:p w14:paraId="5A34DF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沟通矩阵：定义不同干系人所需的信息内容、格式、频率、发送方式及责任人。</w:t>
      </w:r>
    </w:p>
    <w:p w14:paraId="10EBB0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沟通方式选择：根据沟通内容的重要性、紧急性和受众，选择合适的沟通方式（如</w:t>
      </w:r>
      <w:r>
        <w:rPr>
          <w:rFonts w:hint="eastAsia"/>
          <w:lang w:val="en-US" w:eastAsia="zh-CN"/>
        </w:rPr>
        <w:t>表4-1所示</w:t>
      </w:r>
      <w:r>
        <w:rPr>
          <w:rFonts w:hint="default"/>
          <w:lang w:val="en-US" w:eastAsia="zh-CN"/>
        </w:rPr>
        <w:t>），并确保团队共同遵守。</w:t>
      </w:r>
    </w:p>
    <w:p w14:paraId="75771896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沟通方式选择表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51"/>
        <w:gridCol w:w="3430"/>
        <w:gridCol w:w="2841"/>
      </w:tblGrid>
      <w:tr w14:paraId="60AA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1" w:type="dxa"/>
          </w:tcPr>
          <w:p w14:paraId="29EE51A4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  <w:tc>
          <w:tcPr>
            <w:tcW w:w="3430" w:type="dxa"/>
          </w:tcPr>
          <w:p w14:paraId="04C84B2C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特点</w:t>
            </w:r>
          </w:p>
        </w:tc>
        <w:tc>
          <w:tcPr>
            <w:tcW w:w="2841" w:type="dxa"/>
          </w:tcPr>
          <w:p w14:paraId="6CC181E6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 w14:paraId="1A45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5" w:hRule="atLeast"/>
        </w:trPr>
        <w:tc>
          <w:tcPr>
            <w:tcW w:w="2251" w:type="dxa"/>
          </w:tcPr>
          <w:p w14:paraId="188CEEF8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正式书面</w:t>
            </w:r>
          </w:p>
        </w:tc>
        <w:tc>
          <w:tcPr>
            <w:tcW w:w="3430" w:type="dxa"/>
          </w:tcPr>
          <w:p w14:paraId="7AA7AB4C">
            <w:pPr>
              <w:pStyle w:val="29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内容严谨，可留存，不易失真</w:t>
            </w:r>
          </w:p>
        </w:tc>
        <w:tc>
          <w:tcPr>
            <w:tcW w:w="2841" w:type="dxa"/>
          </w:tcPr>
          <w:p w14:paraId="26DDD3EE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合同、方案、报告、会议纪要</w:t>
            </w:r>
          </w:p>
        </w:tc>
      </w:tr>
      <w:tr w14:paraId="7311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5" w:hRule="atLeast"/>
        </w:trPr>
        <w:tc>
          <w:tcPr>
            <w:tcW w:w="2251" w:type="dxa"/>
          </w:tcPr>
          <w:p w14:paraId="0BE0D8F3">
            <w:pPr>
              <w:pStyle w:val="2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书面</w:t>
            </w:r>
          </w:p>
        </w:tc>
        <w:tc>
          <w:tcPr>
            <w:tcW w:w="3430" w:type="dxa"/>
          </w:tcPr>
          <w:p w14:paraId="18F2AD8C">
            <w:pPr>
              <w:pStyle w:val="29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灵活，格式自由</w:t>
            </w:r>
          </w:p>
        </w:tc>
        <w:tc>
          <w:tcPr>
            <w:tcW w:w="2841" w:type="dxa"/>
          </w:tcPr>
          <w:p w14:paraId="240C84E0">
            <w:pPr>
              <w:pStyle w:val="29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个人工作笔记、即时贴、群内通知</w:t>
            </w:r>
          </w:p>
        </w:tc>
      </w:tr>
      <w:tr w14:paraId="2A45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1" w:type="dxa"/>
          </w:tcPr>
          <w:p w14:paraId="2B7BC8F7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正式口头</w:t>
            </w:r>
          </w:p>
        </w:tc>
        <w:tc>
          <w:tcPr>
            <w:tcW w:w="3430" w:type="dxa"/>
          </w:tcPr>
          <w:p w14:paraId="0853EB2C">
            <w:pPr>
              <w:pStyle w:val="29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直接高效，但需辅以记录</w:t>
            </w:r>
          </w:p>
        </w:tc>
        <w:tc>
          <w:tcPr>
            <w:tcW w:w="2841" w:type="dxa"/>
          </w:tcPr>
          <w:p w14:paraId="712F46BA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项目启动会、汇报、评审会</w:t>
            </w:r>
          </w:p>
        </w:tc>
      </w:tr>
      <w:tr w14:paraId="5969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1" w:type="dxa"/>
          </w:tcPr>
          <w:p w14:paraId="60C5FE79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非正式口头</w:t>
            </w:r>
          </w:p>
        </w:tc>
        <w:tc>
          <w:tcPr>
            <w:tcW w:w="3430" w:type="dxa"/>
          </w:tcPr>
          <w:p w14:paraId="10FED9E8">
            <w:pPr>
              <w:pStyle w:val="29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灵活快捷，效率高</w:t>
            </w:r>
          </w:p>
        </w:tc>
        <w:tc>
          <w:tcPr>
            <w:tcW w:w="2841" w:type="dxa"/>
          </w:tcPr>
          <w:p w14:paraId="4269D598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日常讨论、问题初步探询</w:t>
            </w:r>
          </w:p>
        </w:tc>
      </w:tr>
    </w:tbl>
    <w:p w14:paraId="5DB1C0E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沟通内容与实施</w:t>
      </w:r>
    </w:p>
    <w:p w14:paraId="1F7891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本部分规定了与不同干系人群体的核心沟通内容与实施路径。</w:t>
      </w:r>
    </w:p>
    <w:p w14:paraId="5BAF5C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与客户的沟通</w:t>
      </w:r>
    </w:p>
    <w:p w14:paraId="608D84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核心内容：聚焦客户关注的成本、质量与进度。任何可能导致范围、成本、进度变更的事项，均应提前、主动沟通，说明原因与影响。</w:t>
      </w:r>
    </w:p>
    <w:p w14:paraId="46B4F1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实施路径：通过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进行日常电话支持与回访；紧急问题启动远程或现场支持；所有正式沟通均需保存记录，并按要求录入指定业务流程系统。</w:t>
      </w:r>
    </w:p>
    <w:p w14:paraId="079D023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与上层领导的沟通</w:t>
      </w:r>
    </w:p>
    <w:p w14:paraId="707D54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核心内容：及时、如实地汇报项目重大进展、风险（如延期、成本超支、重大质量问题）及关键决策需求。</w:t>
      </w:r>
    </w:p>
    <w:p w14:paraId="56E88B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负责通过定期报告或专项汇报方式进行，确保管理层信息同步，以便其作出决策或调整计划。</w:t>
      </w:r>
    </w:p>
    <w:p w14:paraId="5E59A80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项目内部沟通</w:t>
      </w:r>
    </w:p>
    <w:p w14:paraId="7CCACF9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核心内容：涵盖技术讨论、经验交流、任务分配、绩效反馈、问题协调等日常运营活动。</w:t>
      </w:r>
    </w:p>
    <w:p w14:paraId="3E5AEDE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实施路径：主要通过团队会议、即时通讯工具、邮件等方式进行，确保信息在项目团队内部充分共享。</w:t>
      </w:r>
    </w:p>
    <w:p w14:paraId="76E6E40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跨部门沟通</w:t>
      </w:r>
    </w:p>
    <w:p w14:paraId="5361FF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核心内容与接口：</w:t>
      </w:r>
    </w:p>
    <w:p w14:paraId="4024EB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采购部：对接供应商信息、备品备件供应状态。</w:t>
      </w:r>
    </w:p>
    <w:p w14:paraId="062514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质量部：通报项目质量状况，接受质量监督。</w:t>
      </w:r>
    </w:p>
    <w:p w14:paraId="111B45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人力部：提出人力资源需求，协调人员培训与储备。</w:t>
      </w:r>
    </w:p>
    <w:p w14:paraId="57E316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实施路径：建立常态化接口人机制，通过联席会议、工作联系单等形式进行。</w:t>
      </w:r>
    </w:p>
    <w:p w14:paraId="4AAA44B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沟通执行与反馈</w:t>
      </w:r>
    </w:p>
    <w:p w14:paraId="5D0BA0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反馈确认机制：信息发送方有责任确保信息清晰、完整；接收方有责任确认已收到并正确理解信息。重要指令或决策须通过回执、回复等方式明确确认。</w:t>
      </w:r>
    </w:p>
    <w:p w14:paraId="245A025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沟通报告：根据沟通情况，形成定期报告（周/月报）、阶段审查报告或紧急事件报告。</w:t>
      </w:r>
    </w:p>
    <w:p w14:paraId="6F96DD8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沟通总结与记录</w:t>
      </w:r>
    </w:p>
    <w:p w14:paraId="28F24A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记录要求：所有正式沟通及产生结论的非正式沟通，均须有输出物，如会议纪要、邮件或简明的沟通记录，并经相关方确认。</w:t>
      </w:r>
    </w:p>
    <w:p w14:paraId="232328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归档管理：与客户的重要沟通记录，必须按规定及时录入公司指定的业务流程管理系统（如钉钉），并抄送所有相关干系人。所有沟通记录由项目组整理并定期归档。</w:t>
      </w:r>
    </w:p>
    <w:p w14:paraId="1DBD5C4B">
      <w:pPr>
        <w:pStyle w:val="29"/>
        <w:rPr>
          <w:rFonts w:hint="default"/>
          <w:lang w:val="en-US" w:eastAsia="zh-CN"/>
        </w:rPr>
      </w:pP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6A25390B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《项目沟通计划》（模板）</w:t>
      </w:r>
    </w:p>
    <w:p w14:paraId="1427EF4F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《会议纪要》（模板）</w:t>
      </w:r>
    </w:p>
    <w:p w14:paraId="6FC6E31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《关键沟通记录表》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7909DFC9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《会议纪要》</w:t>
      </w:r>
    </w:p>
    <w:p w14:paraId="24108086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《项目周/月报》</w:t>
      </w:r>
    </w:p>
    <w:p w14:paraId="7C195BDE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录入系统的客户沟通记录</w:t>
      </w:r>
    </w:p>
    <w:p w14:paraId="05F117F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所有记录由项目组负责保存，项目结束后统一移交至质量部或指定部门归档，保存期限不少于3年。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90AD58"/>
    <w:multiLevelType w:val="singleLevel"/>
    <w:tmpl w:val="0890AD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37048E"/>
    <w:multiLevelType w:val="singleLevel"/>
    <w:tmpl w:val="383704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7AEE7FA"/>
    <w:multiLevelType w:val="singleLevel"/>
    <w:tmpl w:val="47AEE7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E17D214"/>
    <w:multiLevelType w:val="singleLevel"/>
    <w:tmpl w:val="7E17D2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D6466C"/>
    <w:rsid w:val="01E07299"/>
    <w:rsid w:val="02021905"/>
    <w:rsid w:val="0211124F"/>
    <w:rsid w:val="029C58B6"/>
    <w:rsid w:val="02CE3596"/>
    <w:rsid w:val="02EA4873"/>
    <w:rsid w:val="040604A9"/>
    <w:rsid w:val="04463869"/>
    <w:rsid w:val="05980692"/>
    <w:rsid w:val="05FD550C"/>
    <w:rsid w:val="060914B4"/>
    <w:rsid w:val="065A1D10"/>
    <w:rsid w:val="067032E2"/>
    <w:rsid w:val="072E0AA7"/>
    <w:rsid w:val="073D05DE"/>
    <w:rsid w:val="07660A33"/>
    <w:rsid w:val="07B13BB2"/>
    <w:rsid w:val="080D4B60"/>
    <w:rsid w:val="09067F2D"/>
    <w:rsid w:val="09414AC1"/>
    <w:rsid w:val="09975029"/>
    <w:rsid w:val="09D65B51"/>
    <w:rsid w:val="09F2400E"/>
    <w:rsid w:val="09FC6C3A"/>
    <w:rsid w:val="0A4C5E14"/>
    <w:rsid w:val="0C0F6191"/>
    <w:rsid w:val="0C1E733C"/>
    <w:rsid w:val="0CB33F28"/>
    <w:rsid w:val="0CF12BAD"/>
    <w:rsid w:val="0F4F57A4"/>
    <w:rsid w:val="0FBD50BE"/>
    <w:rsid w:val="0FD115EF"/>
    <w:rsid w:val="127C6B6A"/>
    <w:rsid w:val="130628D8"/>
    <w:rsid w:val="131B2827"/>
    <w:rsid w:val="139879D4"/>
    <w:rsid w:val="13D604FC"/>
    <w:rsid w:val="14B42767"/>
    <w:rsid w:val="14D902A4"/>
    <w:rsid w:val="14E46C49"/>
    <w:rsid w:val="15CC7E09"/>
    <w:rsid w:val="15EC2259"/>
    <w:rsid w:val="16B0772A"/>
    <w:rsid w:val="170D06D9"/>
    <w:rsid w:val="17103D25"/>
    <w:rsid w:val="17195DAB"/>
    <w:rsid w:val="17710C68"/>
    <w:rsid w:val="17BE19D3"/>
    <w:rsid w:val="17D64F6F"/>
    <w:rsid w:val="17DF25E3"/>
    <w:rsid w:val="17E7717C"/>
    <w:rsid w:val="18846779"/>
    <w:rsid w:val="18F465E3"/>
    <w:rsid w:val="191A1955"/>
    <w:rsid w:val="19E020D4"/>
    <w:rsid w:val="1A85418F"/>
    <w:rsid w:val="1A9923D9"/>
    <w:rsid w:val="1BC709D8"/>
    <w:rsid w:val="1D997E65"/>
    <w:rsid w:val="1E692834"/>
    <w:rsid w:val="1E960840"/>
    <w:rsid w:val="1EFD1033"/>
    <w:rsid w:val="1FCB1131"/>
    <w:rsid w:val="20D91840"/>
    <w:rsid w:val="215C6FE4"/>
    <w:rsid w:val="23A26E72"/>
    <w:rsid w:val="23DD436C"/>
    <w:rsid w:val="23FD59BD"/>
    <w:rsid w:val="24686E21"/>
    <w:rsid w:val="26737C9A"/>
    <w:rsid w:val="26C427F2"/>
    <w:rsid w:val="2908648D"/>
    <w:rsid w:val="293D309F"/>
    <w:rsid w:val="294F2DD3"/>
    <w:rsid w:val="2975663E"/>
    <w:rsid w:val="2A7725E1"/>
    <w:rsid w:val="2A8B6C6D"/>
    <w:rsid w:val="2B612949"/>
    <w:rsid w:val="2E500F2E"/>
    <w:rsid w:val="2F041F69"/>
    <w:rsid w:val="2FC11C09"/>
    <w:rsid w:val="2FC55B9D"/>
    <w:rsid w:val="30FC114A"/>
    <w:rsid w:val="31EF5153"/>
    <w:rsid w:val="32002EBC"/>
    <w:rsid w:val="333746BC"/>
    <w:rsid w:val="346C0F8D"/>
    <w:rsid w:val="350D601C"/>
    <w:rsid w:val="359D0A22"/>
    <w:rsid w:val="35DE67BA"/>
    <w:rsid w:val="36883480"/>
    <w:rsid w:val="36914A2B"/>
    <w:rsid w:val="3699743B"/>
    <w:rsid w:val="36D93CDC"/>
    <w:rsid w:val="375F2433"/>
    <w:rsid w:val="37971BCD"/>
    <w:rsid w:val="379A16BD"/>
    <w:rsid w:val="37DF17C6"/>
    <w:rsid w:val="37E666B0"/>
    <w:rsid w:val="37E961A0"/>
    <w:rsid w:val="385201EA"/>
    <w:rsid w:val="3914549F"/>
    <w:rsid w:val="39586050"/>
    <w:rsid w:val="3962620A"/>
    <w:rsid w:val="3C265C15"/>
    <w:rsid w:val="3D5F4115"/>
    <w:rsid w:val="3D7F34F8"/>
    <w:rsid w:val="3E287A22"/>
    <w:rsid w:val="3E413C8F"/>
    <w:rsid w:val="3E5A3954"/>
    <w:rsid w:val="3F2D2E17"/>
    <w:rsid w:val="40646D0C"/>
    <w:rsid w:val="40873B7A"/>
    <w:rsid w:val="40B11D0C"/>
    <w:rsid w:val="419C7009"/>
    <w:rsid w:val="41DA54D8"/>
    <w:rsid w:val="426164FC"/>
    <w:rsid w:val="42B871C2"/>
    <w:rsid w:val="43223C0F"/>
    <w:rsid w:val="4368266F"/>
    <w:rsid w:val="43996CCD"/>
    <w:rsid w:val="44827761"/>
    <w:rsid w:val="45EE5265"/>
    <w:rsid w:val="468B3DA5"/>
    <w:rsid w:val="46BF2EEE"/>
    <w:rsid w:val="472B0583"/>
    <w:rsid w:val="47BB1907"/>
    <w:rsid w:val="484F2050"/>
    <w:rsid w:val="48FA020D"/>
    <w:rsid w:val="49B33C44"/>
    <w:rsid w:val="49CC1B61"/>
    <w:rsid w:val="4B1A4B97"/>
    <w:rsid w:val="4BF4363A"/>
    <w:rsid w:val="4BFB76A0"/>
    <w:rsid w:val="4D1711C1"/>
    <w:rsid w:val="4E0B149B"/>
    <w:rsid w:val="4E4F2DA9"/>
    <w:rsid w:val="4F6F1974"/>
    <w:rsid w:val="503F29AA"/>
    <w:rsid w:val="505C355C"/>
    <w:rsid w:val="50BE0A71"/>
    <w:rsid w:val="50E53551"/>
    <w:rsid w:val="511C5981"/>
    <w:rsid w:val="51361FFF"/>
    <w:rsid w:val="51F0261E"/>
    <w:rsid w:val="53F173BB"/>
    <w:rsid w:val="5486504B"/>
    <w:rsid w:val="54CB7E3C"/>
    <w:rsid w:val="5632548A"/>
    <w:rsid w:val="58675193"/>
    <w:rsid w:val="587B73CC"/>
    <w:rsid w:val="5A6610C0"/>
    <w:rsid w:val="5B0B0058"/>
    <w:rsid w:val="5B85605C"/>
    <w:rsid w:val="5C9B135A"/>
    <w:rsid w:val="5D0D6A04"/>
    <w:rsid w:val="5D2E6280"/>
    <w:rsid w:val="5D6677C8"/>
    <w:rsid w:val="5D7336BB"/>
    <w:rsid w:val="5E6A32E8"/>
    <w:rsid w:val="5EF552A7"/>
    <w:rsid w:val="5EFB71CC"/>
    <w:rsid w:val="5EFD0600"/>
    <w:rsid w:val="5F7F1015"/>
    <w:rsid w:val="60025ECE"/>
    <w:rsid w:val="6055003B"/>
    <w:rsid w:val="613E7799"/>
    <w:rsid w:val="61A11716"/>
    <w:rsid w:val="6200643D"/>
    <w:rsid w:val="62312EF8"/>
    <w:rsid w:val="63754C08"/>
    <w:rsid w:val="640721AA"/>
    <w:rsid w:val="652A5B5F"/>
    <w:rsid w:val="657F3B1C"/>
    <w:rsid w:val="659C092C"/>
    <w:rsid w:val="65C43C25"/>
    <w:rsid w:val="665E451D"/>
    <w:rsid w:val="678C0773"/>
    <w:rsid w:val="67A96C2F"/>
    <w:rsid w:val="68804644"/>
    <w:rsid w:val="698F3ABF"/>
    <w:rsid w:val="6A48770E"/>
    <w:rsid w:val="6BAD2A66"/>
    <w:rsid w:val="6BF30DC0"/>
    <w:rsid w:val="6D711966"/>
    <w:rsid w:val="6D834437"/>
    <w:rsid w:val="6DB46CBB"/>
    <w:rsid w:val="6E6623CD"/>
    <w:rsid w:val="6EFF6FDB"/>
    <w:rsid w:val="6F887A72"/>
    <w:rsid w:val="704C0A9F"/>
    <w:rsid w:val="70CC411D"/>
    <w:rsid w:val="711772FF"/>
    <w:rsid w:val="713003C1"/>
    <w:rsid w:val="713104AC"/>
    <w:rsid w:val="7141437C"/>
    <w:rsid w:val="73593BFF"/>
    <w:rsid w:val="73644352"/>
    <w:rsid w:val="73C7661F"/>
    <w:rsid w:val="75DF5F11"/>
    <w:rsid w:val="76960176"/>
    <w:rsid w:val="76AF0BBA"/>
    <w:rsid w:val="76B4114C"/>
    <w:rsid w:val="76F6721A"/>
    <w:rsid w:val="776C1A27"/>
    <w:rsid w:val="77EF4B32"/>
    <w:rsid w:val="783833C6"/>
    <w:rsid w:val="783E1615"/>
    <w:rsid w:val="78613906"/>
    <w:rsid w:val="78CA2EA9"/>
    <w:rsid w:val="78D1021F"/>
    <w:rsid w:val="79305402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E38506C"/>
    <w:rsid w:val="7F8244DD"/>
    <w:rsid w:val="7F9B10FB"/>
    <w:rsid w:val="7FAC687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231</Words>
  <Characters>305</Characters>
  <Lines>0</Lines>
  <Paragraphs>0</Paragraphs>
  <TotalTime>2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2025-10-23T09:55:18Z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