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A6FA79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1" w:beforeLines="1000"/>
        <w:textAlignment w:val="baseline"/>
      </w:pPr>
      <w:bookmarkStart w:id="0" w:name="_Toc260"/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7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阿克苏智汇人才服务有限</w:t>
      </w:r>
      <w:r>
        <w:t>公司</w:t>
      </w:r>
      <w:bookmarkEnd w:id="0"/>
    </w:p>
    <w:p w14:paraId="1CA859AD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5" w:afterLines="200"/>
        <w:textAlignment w:val="baseline"/>
        <w:rPr>
          <w:rFonts w:hint="eastAsia"/>
          <w:lang w:val="en-US" w:eastAsia="zh-CN"/>
        </w:rPr>
      </w:pPr>
      <w:bookmarkStart w:id="1" w:name="_Toc27520"/>
      <w:r>
        <w:rPr>
          <w:rFonts w:hint="eastAsia"/>
          <w:lang w:val="en-US" w:eastAsia="zh-CN"/>
        </w:rPr>
        <w:t>客户满意度调查管理制度</w:t>
      </w:r>
      <w:bookmarkEnd w:id="1"/>
    </w:p>
    <w:p w14:paraId="5C99E7F3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5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ZHRC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4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3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42161A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47F44E0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质量</w:t>
            </w:r>
            <w:bookmarkStart w:id="16" w:name="_GoBack"/>
            <w:bookmarkEnd w:id="16"/>
            <w:r>
              <w:rPr>
                <w:rFonts w:hint="eastAsia"/>
                <w:u w:val="single"/>
                <w:vertAlign w:val="baseline"/>
                <w:lang w:val="en-US" w:eastAsia="zh-CN"/>
              </w:rPr>
              <w:t>部</w:t>
            </w:r>
          </w:p>
        </w:tc>
        <w:tc>
          <w:tcPr>
            <w:tcW w:w="2708" w:type="dxa"/>
          </w:tcPr>
          <w:p w14:paraId="527A687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2025.04.10</w:t>
            </w:r>
          </w:p>
        </w:tc>
      </w:tr>
      <w:tr w14:paraId="5E0463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2740D4D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fitText w:val="840" w:id="1984234543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fitText w:val="840" w:id="1984234543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fitText w:val="630" w:id="1331981115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fitText w:val="630" w:id="1331981115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36398C7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2025.04.10</w:t>
            </w:r>
          </w:p>
        </w:tc>
      </w:tr>
      <w:tr w14:paraId="40129E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5A92757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fitText w:val="840" w:id="722747876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fitText w:val="840" w:id="722747876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 w:asciiTheme="minorAscii" w:hAnsiTheme="minorAscii" w:eastAsiaTheme="minorEastAsia"/>
                <w:spacing w:val="105"/>
                <w:kern w:val="0"/>
                <w:sz w:val="21"/>
                <w:u w:val="single"/>
                <w:fitText w:val="630" w:id="676873217"/>
                <w:vertAlign w:val="baseline"/>
                <w:lang w:val="en-US" w:eastAsia="zh-CN"/>
              </w:rPr>
              <w:t>任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u w:val="single"/>
                <w:fitText w:val="630" w:id="676873217"/>
                <w:vertAlign w:val="baseline"/>
                <w:lang w:val="en-US" w:eastAsia="zh-CN"/>
              </w:rPr>
              <w:t>鸿</w:t>
            </w:r>
          </w:p>
        </w:tc>
        <w:tc>
          <w:tcPr>
            <w:tcW w:w="2708" w:type="dxa"/>
          </w:tcPr>
          <w:p w14:paraId="370F750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2025.04.10</w:t>
            </w:r>
          </w:p>
        </w:tc>
      </w:tr>
    </w:tbl>
    <w:p w14:paraId="1DEAC454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36153578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7137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 w14:paraId="6544A00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2689" w:type="dxa"/>
          </w:tcPr>
          <w:p w14:paraId="4FB3B2C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778067E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4D1CA80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 w14:paraId="5C6967C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631C0F8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2689" w:type="dxa"/>
          </w:tcPr>
          <w:p w14:paraId="2EE12DA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2025.0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4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 w14:paraId="10AEB2A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2292F32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 w14:paraId="43AD957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105"/>
                <w:kern w:val="0"/>
                <w:sz w:val="21"/>
                <w:fitText w:val="630" w:id="676873217"/>
                <w:vertAlign w:val="baseline"/>
                <w:lang w:val="en-US" w:eastAsia="zh-CN"/>
              </w:rPr>
              <w:t>任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fitText w:val="630" w:id="676873217"/>
                <w:vertAlign w:val="baseline"/>
                <w:lang w:val="en-US" w:eastAsia="zh-CN"/>
              </w:rPr>
              <w:t>鸿</w:t>
            </w:r>
          </w:p>
        </w:tc>
      </w:tr>
      <w:tr w14:paraId="6E20967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05F4A44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2146625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2B88D56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2F14922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55B855D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3A84474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58C703F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4970AE5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0C73CE0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7F7C35E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2689" w:type="dxa"/>
          </w:tcPr>
          <w:p w14:paraId="750A30C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67969F4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64D59CB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2677625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38E27D40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36A6F98F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4ABEBB57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阿克苏智汇人才服务有限</w:t>
          </w:r>
          <w:r>
            <w:t>公司</w:t>
          </w:r>
          <w:r>
            <w:tab/>
          </w:r>
          <w:r>
            <w:fldChar w:fldCharType="begin"/>
          </w:r>
          <w:r>
            <w:instrText xml:space="preserve"> PAGEREF _Toc260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CE182B2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_Toc27520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人员工作交接管理制度</w:t>
          </w:r>
          <w:r>
            <w:tab/>
          </w:r>
          <w:r>
            <w:fldChar w:fldCharType="begin"/>
          </w:r>
          <w:r>
            <w:instrText xml:space="preserve"> PAGEREF _Toc27520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82C915D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_Toc1824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总则</w:t>
          </w:r>
          <w:r>
            <w:tab/>
          </w:r>
          <w:r>
            <w:fldChar w:fldCharType="begin"/>
          </w:r>
          <w:r>
            <w:instrText xml:space="preserve"> PAGEREF _Toc1824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79FBFB8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_Toc13369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_Toc13369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3BA5005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_Toc14707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_Toc14707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2E4BBA8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_Toc7905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_Toc7905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62DE691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_Toc32565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_Toc32565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87E0AE4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_Toc7310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引用依据</w:t>
          </w:r>
          <w:r>
            <w:tab/>
          </w:r>
          <w:r>
            <w:fldChar w:fldCharType="begin"/>
          </w:r>
          <w:r>
            <w:instrText xml:space="preserve"> PAGEREF _Toc7310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ADE403E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_Toc30963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定义与术语</w:t>
          </w:r>
          <w:r>
            <w:tab/>
          </w:r>
          <w:r>
            <w:fldChar w:fldCharType="begin"/>
          </w:r>
          <w:r>
            <w:instrText xml:space="preserve"> PAGEREF _Toc30963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06B10D3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_Toc14370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管理内容与要求</w:t>
          </w:r>
          <w:r>
            <w:tab/>
          </w:r>
          <w:r>
            <w:fldChar w:fldCharType="begin"/>
          </w:r>
          <w:r>
            <w:instrText xml:space="preserve"> PAGEREF _Toc14370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559700C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_Toc26732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eastAsia="宋体"/>
              <w:lang w:val="en-US" w:eastAsia="zh-CN"/>
            </w:rPr>
            <w:t xml:space="preserve">5. </w:t>
          </w:r>
          <w:r>
            <w:rPr>
              <w:rFonts w:hint="eastAsia" w:eastAsia="宋体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_Toc26732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8EBAF05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_Toc3387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_Toc3387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AD5517B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_Toc16438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_Toc16438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5460C6F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272DD7F8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36869B1E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2" w:name="_Toc1824"/>
      <w:r>
        <w:rPr>
          <w:rFonts w:hint="eastAsia"/>
          <w:lang w:val="en-US" w:eastAsia="zh-CN"/>
        </w:rPr>
        <w:t>总则</w:t>
      </w:r>
      <w:bookmarkEnd w:id="2"/>
    </w:p>
    <w:p w14:paraId="151B219A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" w:name="_Toc13369"/>
      <w:r>
        <w:rPr>
          <w:rFonts w:hint="eastAsia"/>
          <w:lang w:val="en-US" w:eastAsia="zh-CN"/>
        </w:rPr>
        <w:t>目的</w:t>
      </w:r>
      <w:bookmarkEnd w:id="3"/>
    </w:p>
    <w:p w14:paraId="28843688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为系统化地监视、测量和分析客户对运维服务的满意程度，准确识别客户显性与潜在需求，科学评价公司管理体系的有效性，并为服务质量的持续改进提供决策依据，特制定本制度。</w:t>
      </w:r>
    </w:p>
    <w:p w14:paraId="74FEE6B8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" w:name="_Toc14707"/>
      <w:r>
        <w:rPr>
          <w:rFonts w:hint="eastAsia"/>
          <w:lang w:val="en-US" w:eastAsia="zh-CN"/>
        </w:rPr>
        <w:t>适用范围</w:t>
      </w:r>
      <w:bookmarkEnd w:id="4"/>
    </w:p>
    <w:p w14:paraId="22EFA3D2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本制度适用于对公司运维服务管理体系运行中，客户满意程度的监视、测量、分析、评价及改进活动的全过程管理。</w:t>
      </w:r>
    </w:p>
    <w:p w14:paraId="1D3A738A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5" w:name="_Toc7905"/>
      <w:r>
        <w:rPr>
          <w:rFonts w:hint="eastAsia"/>
          <w:lang w:val="en-US" w:eastAsia="zh-CN"/>
        </w:rPr>
        <w:t>原则</w:t>
      </w:r>
      <w:bookmarkEnd w:id="5"/>
    </w:p>
    <w:p w14:paraId="17233C12">
      <w:pPr>
        <w:pStyle w:val="29"/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客观公正：基于事实和数据，确保收集的客户反馈真实、准确。</w:t>
      </w:r>
    </w:p>
    <w:p w14:paraId="5E5B6F83">
      <w:pPr>
        <w:pStyle w:val="29"/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持续改进：将客户满意度结果作为驱动服务质量持续提升的核心动力。</w:t>
      </w:r>
    </w:p>
    <w:p w14:paraId="1E977D4A">
      <w:pPr>
        <w:pStyle w:val="29"/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闭环管理：对客户反馈实施从收集、分析、改进到验证的全程跟踪。</w:t>
      </w:r>
    </w:p>
    <w:p w14:paraId="6FCDC5E8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6" w:name="_Toc32565"/>
      <w:r>
        <w:rPr>
          <w:rFonts w:hint="eastAsia"/>
          <w:lang w:val="en-US" w:eastAsia="zh-CN"/>
        </w:rPr>
        <w:t>岗位职责</w:t>
      </w:r>
      <w:bookmarkEnd w:id="6"/>
    </w:p>
    <w:p w14:paraId="66D34AD8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运维部经理</w:t>
      </w:r>
    </w:p>
    <w:p w14:paraId="4868D61B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负责策划并实施年度客户沟通计划；组织对客户沟通记录进行综合分析，形成报告；监督服务整改措施的落实与效果跟踪。</w:t>
      </w:r>
    </w:p>
    <w:p w14:paraId="3747A404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服务台专员</w:t>
      </w:r>
    </w:p>
    <w:p w14:paraId="14FAE88E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负责策划并组织实施客户满意度调查；收集、确认并分析客户满意度信息，编制分析报告；负责就改进事项与客户沟通，并跟踪验证实施效果。</w:t>
      </w:r>
    </w:p>
    <w:p w14:paraId="63957559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运维部</w:t>
      </w:r>
    </w:p>
    <w:p w14:paraId="05809821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负责配合进行客户反馈信息的分析与改进措施的实施；具体负责客户投诉的处理；负责保存与本部门相关的服务与沟通记录。</w:t>
      </w:r>
    </w:p>
    <w:p w14:paraId="56F58DFD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质量部</w:t>
      </w:r>
    </w:p>
    <w:p w14:paraId="703EADF9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负责对本程序的执行情况进行监督，并归档保管全公司的客户满意度调查资料。</w:t>
      </w:r>
    </w:p>
    <w:p w14:paraId="744EE43F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7" w:name="_Toc7310"/>
      <w:r>
        <w:rPr>
          <w:rFonts w:hint="eastAsia"/>
          <w:lang w:val="en-US" w:eastAsia="zh-CN"/>
        </w:rPr>
        <w:t>引用依据</w:t>
      </w:r>
      <w:bookmarkEnd w:id="7"/>
    </w:p>
    <w:p w14:paraId="7ACFAE86">
      <w:pPr>
        <w:pStyle w:val="29"/>
        <w:numPr>
          <w:ilvl w:val="0"/>
          <w:numId w:val="3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28827.1-2022 《信息技术服务 运行维护 第1部分：通用要求》</w:t>
      </w:r>
    </w:p>
    <w:p w14:paraId="5F49CAFB">
      <w:pPr>
        <w:pStyle w:val="29"/>
        <w:numPr>
          <w:ilvl w:val="0"/>
          <w:numId w:val="3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28827.2-2012 《信息技术服务 运行维护 第2部分：交付规范》</w:t>
      </w:r>
    </w:p>
    <w:p w14:paraId="2741F995">
      <w:pPr>
        <w:pStyle w:val="29"/>
        <w:numPr>
          <w:ilvl w:val="0"/>
          <w:numId w:val="3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T/CESA 1299—2023 《信息技术服务 运行维护服务能力成熟度模型》</w:t>
      </w:r>
    </w:p>
    <w:p w14:paraId="3078E5D4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8" w:name="_Toc30963"/>
      <w:r>
        <w:rPr>
          <w:rFonts w:hint="eastAsia"/>
          <w:lang w:val="en-US" w:eastAsia="zh-CN"/>
        </w:rPr>
        <w:t>定义与术语</w:t>
      </w:r>
      <w:bookmarkEnd w:id="8"/>
    </w:p>
    <w:p w14:paraId="57D22F4D">
      <w:pPr>
        <w:pStyle w:val="30"/>
        <w:bidi w:val="0"/>
        <w:rPr>
          <w:rFonts w:hint="eastAsia"/>
        </w:rPr>
      </w:pPr>
      <w:r>
        <w:rPr>
          <w:rFonts w:hint="eastAsia"/>
        </w:rPr>
        <w:t>客户满意度</w:t>
      </w:r>
    </w:p>
    <w:p w14:paraId="3AEB5E37">
      <w:pPr>
        <w:pStyle w:val="29"/>
        <w:rPr>
          <w:rFonts w:hint="eastAsia"/>
        </w:rPr>
      </w:pPr>
      <w:r>
        <w:rPr>
          <w:rFonts w:hint="eastAsia"/>
        </w:rPr>
        <w:t>客户对其要求已被满足的程度的感受。</w:t>
      </w:r>
    </w:p>
    <w:p w14:paraId="7BA17822">
      <w:pPr>
        <w:pStyle w:val="30"/>
        <w:bidi w:val="0"/>
        <w:rPr>
          <w:rFonts w:hint="eastAsia"/>
        </w:rPr>
      </w:pPr>
      <w:r>
        <w:rPr>
          <w:rFonts w:hint="eastAsia"/>
        </w:rPr>
        <w:t>监视</w:t>
      </w:r>
    </w:p>
    <w:p w14:paraId="3724E81E">
      <w:pPr>
        <w:pStyle w:val="29"/>
        <w:rPr>
          <w:rFonts w:hint="eastAsia"/>
        </w:rPr>
      </w:pPr>
      <w:r>
        <w:rPr>
          <w:rFonts w:hint="eastAsia"/>
        </w:rPr>
        <w:t>确定体系、过程、服务或活动的状态。</w:t>
      </w:r>
    </w:p>
    <w:p w14:paraId="1585544D">
      <w:pPr>
        <w:pStyle w:val="30"/>
        <w:bidi w:val="0"/>
        <w:rPr>
          <w:rFonts w:hint="eastAsia"/>
        </w:rPr>
      </w:pPr>
      <w:r>
        <w:rPr>
          <w:rFonts w:hint="eastAsia"/>
        </w:rPr>
        <w:t>测量</w:t>
      </w:r>
    </w:p>
    <w:p w14:paraId="755F9638">
      <w:pPr>
        <w:pStyle w:val="29"/>
      </w:pPr>
      <w:r>
        <w:rPr>
          <w:rFonts w:hint="eastAsia"/>
        </w:rPr>
        <w:t>确定数值的过程。</w:t>
      </w:r>
    </w:p>
    <w:p w14:paraId="60EF8C3F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9" w:name="_Toc14370"/>
      <w:r>
        <w:rPr>
          <w:rFonts w:hint="eastAsia"/>
          <w:lang w:val="en-US" w:eastAsia="zh-CN"/>
        </w:rPr>
        <w:t>管理内容与要求</w:t>
      </w:r>
      <w:bookmarkEnd w:id="9"/>
    </w:p>
    <w:p w14:paraId="2DFBF577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客户沟通管理</w:t>
      </w:r>
    </w:p>
    <w:p w14:paraId="0AEECBCA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沟通策划：运维部负责人需于每年初制定《年度客户沟通计划》，明确沟通对象、频率、方式及内容。全面沟通每半年不少于一次，采用走访或面谈形式；项目级沟通每季度进行1-2次，可采用电话、电子邮件等方式。</w:t>
      </w:r>
    </w:p>
    <w:p w14:paraId="089AAC89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沟通实施与记录：按计划执行沟通，并详细记录沟通内容于《客户沟通记录》中。</w:t>
      </w:r>
    </w:p>
    <w:p w14:paraId="249FC451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分析与改进：运维部负责人组织对沟通记录进行综合分析，编制《客户沟通分析报告》，并监督报告中确定的改进措施的落实与效果。</w:t>
      </w:r>
    </w:p>
    <w:p w14:paraId="644B822E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客户满意度调查</w:t>
      </w:r>
    </w:p>
    <w:p w14:paraId="0179E214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方案策划：</w:t>
      </w:r>
      <w:r>
        <w:rPr>
          <w:rFonts w:hint="eastAsia"/>
          <w:lang w:val="en-US" w:eastAsia="zh-CN"/>
        </w:rPr>
        <w:t>服务台专员</w:t>
      </w:r>
      <w:r>
        <w:rPr>
          <w:rFonts w:hint="default"/>
          <w:lang w:val="en-US" w:eastAsia="zh-CN"/>
        </w:rPr>
        <w:t>负责根据年度管理目标，制定《客户满意度调查方案》，明确调查项目、对象、方法、人员与时间安排，并设计《客户满意度调查表》。</w:t>
      </w:r>
    </w:p>
    <w:p w14:paraId="400B7B2B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调查实施：按方案采用现场走访、电话访问、在线问卷等方式实施调查，确保在计划时间内完成并回收调查表。</w:t>
      </w:r>
    </w:p>
    <w:p w14:paraId="04BCBF85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统计分析：</w:t>
      </w:r>
      <w:r>
        <w:rPr>
          <w:rFonts w:hint="eastAsia"/>
          <w:lang w:val="en-US" w:eastAsia="zh-CN"/>
        </w:rPr>
        <w:t>服务台专员</w:t>
      </w:r>
      <w:r>
        <w:rPr>
          <w:rFonts w:hint="default"/>
          <w:lang w:val="en-US" w:eastAsia="zh-CN"/>
        </w:rPr>
        <w:t>对收集的数据进行多维分析，包括但不限于：</w:t>
      </w:r>
    </w:p>
    <w:p w14:paraId="379BE5B8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交叉分组分析：从不同客户群体中挖掘差异化的满意度表现。</w:t>
      </w:r>
    </w:p>
    <w:p w14:paraId="48FA7FF1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图表与趋势分析：直观展示满意度均值、总体满意度与分项满意度情况，并与历史数据进行对比，识别趋势。</w:t>
      </w:r>
    </w:p>
    <w:p w14:paraId="11F76E4C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满意度计算：采用加权平均法计算总体客户满意度。计算公式如下：</w:t>
      </w:r>
    </w:p>
    <w:p w14:paraId="1896B4B7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总体满意度=∑(各调查项样本数 × 对应分值 × 权重) / (样本总数 × 100) × 100%</w:t>
      </w:r>
    </w:p>
    <w:p w14:paraId="12440401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表4-1满意度调查维度及权重表</w:t>
      </w:r>
    </w:p>
    <w:tbl>
      <w:tblPr>
        <w:tblStyle w:val="39"/>
        <w:tblW w:w="8764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97"/>
        <w:gridCol w:w="621"/>
        <w:gridCol w:w="491"/>
        <w:gridCol w:w="491"/>
        <w:gridCol w:w="489"/>
        <w:gridCol w:w="623"/>
        <w:gridCol w:w="566"/>
        <w:gridCol w:w="537"/>
        <w:gridCol w:w="619"/>
        <w:gridCol w:w="489"/>
        <w:gridCol w:w="686"/>
        <w:gridCol w:w="691"/>
        <w:gridCol w:w="619"/>
        <w:gridCol w:w="554"/>
        <w:gridCol w:w="491"/>
      </w:tblGrid>
      <w:tr w14:paraId="4C15E3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3" w:hRule="atLeast"/>
        </w:trPr>
        <w:tc>
          <w:tcPr>
            <w:tcW w:w="797" w:type="dxa"/>
            <w:vMerge w:val="restart"/>
            <w:tcBorders>
              <w:bottom w:val="nil"/>
            </w:tcBorders>
            <w:textDirection w:val="tbRlV"/>
            <w:vAlign w:val="top"/>
          </w:tcPr>
          <w:p w14:paraId="29A4907F">
            <w:pPr>
              <w:pStyle w:val="27"/>
              <w:spacing w:line="255" w:lineRule="auto"/>
            </w:pPr>
          </w:p>
          <w:p w14:paraId="12EB0ADF">
            <w:pPr>
              <w:spacing w:before="60" w:line="206" w:lineRule="auto"/>
              <w:ind w:left="55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2"/>
                <w:sz w:val="18"/>
                <w:szCs w:val="18"/>
              </w:rPr>
              <w:t>项</w:t>
            </w:r>
            <w:r>
              <w:rPr>
                <w:rFonts w:ascii="宋体" w:hAnsi="宋体" w:eastAsia="宋体" w:cs="宋体"/>
                <w:spacing w:val="41"/>
                <w:w w:val="101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-2"/>
                <w:sz w:val="18"/>
                <w:szCs w:val="18"/>
              </w:rPr>
              <w:t>目</w:t>
            </w:r>
          </w:p>
        </w:tc>
        <w:tc>
          <w:tcPr>
            <w:tcW w:w="4437" w:type="dxa"/>
            <w:gridSpan w:val="8"/>
            <w:vAlign w:val="top"/>
          </w:tcPr>
          <w:p w14:paraId="7B76A3E3">
            <w:pPr>
              <w:spacing w:before="76" w:line="220" w:lineRule="auto"/>
              <w:ind w:left="588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3"/>
                <w:sz w:val="18"/>
                <w:szCs w:val="18"/>
              </w:rPr>
              <w:t>服务能力与质量</w:t>
            </w:r>
          </w:p>
        </w:tc>
        <w:tc>
          <w:tcPr>
            <w:tcW w:w="2485" w:type="dxa"/>
            <w:gridSpan w:val="4"/>
            <w:vAlign w:val="top"/>
          </w:tcPr>
          <w:p w14:paraId="500E8495">
            <w:pPr>
              <w:spacing w:before="76" w:line="220" w:lineRule="auto"/>
              <w:ind w:left="101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18"/>
                <w:szCs w:val="18"/>
              </w:rPr>
              <w:t>服务态度</w:t>
            </w:r>
          </w:p>
        </w:tc>
        <w:tc>
          <w:tcPr>
            <w:tcW w:w="554" w:type="dxa"/>
            <w:vMerge w:val="restart"/>
            <w:tcBorders>
              <w:bottom w:val="nil"/>
            </w:tcBorders>
            <w:textDirection w:val="tbRlV"/>
            <w:vAlign w:val="top"/>
          </w:tcPr>
          <w:p w14:paraId="4984BAB0">
            <w:pPr>
              <w:spacing w:before="256" w:line="208" w:lineRule="auto"/>
              <w:ind w:left="37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2"/>
                <w:sz w:val="18"/>
                <w:szCs w:val="18"/>
              </w:rPr>
              <w:t>备</w:t>
            </w:r>
            <w:r>
              <w:rPr>
                <w:rFonts w:ascii="宋体" w:hAnsi="宋体" w:eastAsia="宋体" w:cs="宋体"/>
                <w:spacing w:val="42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-2"/>
                <w:sz w:val="18"/>
                <w:szCs w:val="18"/>
              </w:rPr>
              <w:t>件</w:t>
            </w:r>
            <w:r>
              <w:rPr>
                <w:rFonts w:ascii="宋体" w:hAnsi="宋体" w:eastAsia="宋体" w:cs="宋体"/>
                <w:spacing w:val="41"/>
                <w:w w:val="101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-2"/>
                <w:sz w:val="18"/>
                <w:szCs w:val="18"/>
              </w:rPr>
              <w:t>供</w:t>
            </w:r>
          </w:p>
        </w:tc>
        <w:tc>
          <w:tcPr>
            <w:tcW w:w="491" w:type="dxa"/>
            <w:vMerge w:val="restart"/>
            <w:tcBorders>
              <w:bottom w:val="nil"/>
            </w:tcBorders>
            <w:textDirection w:val="tbRlV"/>
            <w:vAlign w:val="top"/>
          </w:tcPr>
          <w:p w14:paraId="66826F0D">
            <w:pPr>
              <w:spacing w:before="192" w:line="208" w:lineRule="auto"/>
              <w:ind w:left="55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2"/>
                <w:sz w:val="18"/>
                <w:szCs w:val="18"/>
              </w:rPr>
              <w:t>培</w:t>
            </w:r>
            <w:r>
              <w:rPr>
                <w:rFonts w:ascii="宋体" w:hAnsi="宋体" w:eastAsia="宋体" w:cs="宋体"/>
                <w:spacing w:val="42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-2"/>
                <w:sz w:val="18"/>
                <w:szCs w:val="18"/>
              </w:rPr>
              <w:t>训</w:t>
            </w:r>
          </w:p>
        </w:tc>
      </w:tr>
      <w:tr w14:paraId="1CA424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2" w:hRule="atLeast"/>
        </w:trPr>
        <w:tc>
          <w:tcPr>
            <w:tcW w:w="797" w:type="dxa"/>
            <w:vMerge w:val="continue"/>
            <w:tcBorders>
              <w:top w:val="nil"/>
            </w:tcBorders>
            <w:textDirection w:val="tbRlV"/>
            <w:vAlign w:val="top"/>
          </w:tcPr>
          <w:p w14:paraId="060D5A27">
            <w:pPr>
              <w:pStyle w:val="27"/>
            </w:pPr>
          </w:p>
        </w:tc>
        <w:tc>
          <w:tcPr>
            <w:tcW w:w="621" w:type="dxa"/>
            <w:vAlign w:val="top"/>
          </w:tcPr>
          <w:p w14:paraId="0EC19FC6">
            <w:pPr>
              <w:spacing w:before="225" w:line="322" w:lineRule="auto"/>
              <w:ind w:right="106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16"/>
                <w:sz w:val="18"/>
                <w:szCs w:val="18"/>
              </w:rPr>
              <w:t>专业</w:t>
            </w:r>
            <w:r>
              <w:rPr>
                <w:rFonts w:ascii="宋体" w:hAnsi="宋体" w:eastAsia="宋体" w:cs="宋体"/>
                <w:b/>
                <w:bCs/>
                <w:spacing w:val="-6"/>
                <w:sz w:val="18"/>
                <w:szCs w:val="18"/>
              </w:rPr>
              <w:t>技术</w:t>
            </w:r>
          </w:p>
        </w:tc>
        <w:tc>
          <w:tcPr>
            <w:tcW w:w="491" w:type="dxa"/>
            <w:textDirection w:val="tbRlV"/>
            <w:vAlign w:val="top"/>
          </w:tcPr>
          <w:p w14:paraId="1375CC0A">
            <w:pPr>
              <w:spacing w:before="201" w:line="204" w:lineRule="auto"/>
              <w:ind w:left="224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2"/>
                <w:sz w:val="18"/>
                <w:szCs w:val="18"/>
              </w:rPr>
              <w:t>日</w:t>
            </w:r>
            <w:r>
              <w:rPr>
                <w:rFonts w:ascii="宋体" w:hAnsi="宋体" w:eastAsia="宋体" w:cs="宋体"/>
                <w:spacing w:val="41"/>
                <w:w w:val="101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-2"/>
                <w:sz w:val="18"/>
                <w:szCs w:val="18"/>
              </w:rPr>
              <w:t>常</w:t>
            </w:r>
          </w:p>
        </w:tc>
        <w:tc>
          <w:tcPr>
            <w:tcW w:w="491" w:type="dxa"/>
            <w:textDirection w:val="tbRlV"/>
            <w:vAlign w:val="top"/>
          </w:tcPr>
          <w:p w14:paraId="0F96519D">
            <w:pPr>
              <w:spacing w:before="200" w:line="209" w:lineRule="auto"/>
              <w:ind w:left="224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2"/>
                <w:sz w:val="18"/>
                <w:szCs w:val="18"/>
              </w:rPr>
              <w:t>软</w:t>
            </w:r>
            <w:r>
              <w:rPr>
                <w:rFonts w:ascii="宋体" w:hAnsi="宋体" w:eastAsia="宋体" w:cs="宋体"/>
                <w:spacing w:val="41"/>
                <w:w w:val="101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-2"/>
                <w:sz w:val="18"/>
                <w:szCs w:val="18"/>
              </w:rPr>
              <w:t>件</w:t>
            </w:r>
          </w:p>
        </w:tc>
        <w:tc>
          <w:tcPr>
            <w:tcW w:w="489" w:type="dxa"/>
            <w:textDirection w:val="tbRlV"/>
            <w:vAlign w:val="top"/>
          </w:tcPr>
          <w:p w14:paraId="76DCB473">
            <w:pPr>
              <w:spacing w:before="198" w:line="209" w:lineRule="auto"/>
              <w:ind w:left="224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2"/>
                <w:sz w:val="18"/>
                <w:szCs w:val="18"/>
              </w:rPr>
              <w:t>硬</w:t>
            </w:r>
            <w:r>
              <w:rPr>
                <w:rFonts w:ascii="宋体" w:hAnsi="宋体" w:eastAsia="宋体" w:cs="宋体"/>
                <w:spacing w:val="41"/>
                <w:w w:val="101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-2"/>
                <w:sz w:val="18"/>
                <w:szCs w:val="18"/>
              </w:rPr>
              <w:t>件</w:t>
            </w:r>
          </w:p>
        </w:tc>
        <w:tc>
          <w:tcPr>
            <w:tcW w:w="623" w:type="dxa"/>
            <w:vAlign w:val="top"/>
          </w:tcPr>
          <w:p w14:paraId="6206987A">
            <w:pPr>
              <w:spacing w:before="224" w:line="323" w:lineRule="auto"/>
              <w:ind w:left="110" w:right="105" w:hanging="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13"/>
                <w:sz w:val="18"/>
                <w:szCs w:val="18"/>
              </w:rPr>
              <w:t>信</w:t>
            </w:r>
            <w:r>
              <w:rPr>
                <w:rFonts w:ascii="宋体" w:hAnsi="宋体" w:eastAsia="宋体" w:cs="宋体"/>
                <w:spacing w:val="-28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-13"/>
                <w:sz w:val="18"/>
                <w:szCs w:val="18"/>
              </w:rPr>
              <w:t>息</w:t>
            </w:r>
            <w:r>
              <w:rPr>
                <w:rFonts w:ascii="宋体" w:hAnsi="宋体" w:eastAsia="宋体" w:cs="宋体"/>
                <w:b/>
                <w:bCs/>
                <w:spacing w:val="-7"/>
                <w:sz w:val="18"/>
                <w:szCs w:val="18"/>
              </w:rPr>
              <w:t>安全</w:t>
            </w:r>
          </w:p>
        </w:tc>
        <w:tc>
          <w:tcPr>
            <w:tcW w:w="566" w:type="dxa"/>
            <w:textDirection w:val="tbRlV"/>
            <w:vAlign w:val="top"/>
          </w:tcPr>
          <w:p w14:paraId="4FFD3359">
            <w:pPr>
              <w:spacing w:before="274" w:line="206" w:lineRule="auto"/>
              <w:ind w:left="224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2"/>
                <w:sz w:val="18"/>
                <w:szCs w:val="18"/>
              </w:rPr>
              <w:t>管</w:t>
            </w:r>
            <w:r>
              <w:rPr>
                <w:rFonts w:ascii="宋体" w:hAnsi="宋体" w:eastAsia="宋体" w:cs="宋体"/>
                <w:spacing w:val="41"/>
                <w:w w:val="101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-2"/>
                <w:sz w:val="18"/>
                <w:szCs w:val="18"/>
              </w:rPr>
              <w:t>理</w:t>
            </w:r>
          </w:p>
        </w:tc>
        <w:tc>
          <w:tcPr>
            <w:tcW w:w="537" w:type="dxa"/>
            <w:textDirection w:val="tbRlV"/>
            <w:vAlign w:val="top"/>
          </w:tcPr>
          <w:p w14:paraId="5701CF64">
            <w:pPr>
              <w:spacing w:before="244" w:line="208" w:lineRule="auto"/>
              <w:ind w:left="224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2"/>
                <w:sz w:val="18"/>
                <w:szCs w:val="18"/>
              </w:rPr>
              <w:t>报</w:t>
            </w:r>
            <w:r>
              <w:rPr>
                <w:rFonts w:ascii="宋体" w:hAnsi="宋体" w:eastAsia="宋体" w:cs="宋体"/>
                <w:spacing w:val="41"/>
                <w:w w:val="101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-2"/>
                <w:sz w:val="18"/>
                <w:szCs w:val="18"/>
              </w:rPr>
              <w:t>告</w:t>
            </w:r>
          </w:p>
        </w:tc>
        <w:tc>
          <w:tcPr>
            <w:tcW w:w="619" w:type="dxa"/>
            <w:vAlign w:val="top"/>
          </w:tcPr>
          <w:p w14:paraId="005B0B63">
            <w:pPr>
              <w:spacing w:before="225" w:line="322" w:lineRule="auto"/>
              <w:ind w:right="102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14"/>
                <w:sz w:val="18"/>
                <w:szCs w:val="18"/>
              </w:rPr>
              <w:t>热线</w:t>
            </w:r>
            <w:r>
              <w:rPr>
                <w:rFonts w:ascii="宋体" w:hAnsi="宋体" w:eastAsia="宋体" w:cs="宋体"/>
                <w:b/>
                <w:bCs/>
                <w:spacing w:val="-10"/>
                <w:sz w:val="18"/>
                <w:szCs w:val="18"/>
              </w:rPr>
              <w:t>畅通</w:t>
            </w:r>
          </w:p>
        </w:tc>
        <w:tc>
          <w:tcPr>
            <w:tcW w:w="489" w:type="dxa"/>
            <w:textDirection w:val="tbRlV"/>
            <w:vAlign w:val="top"/>
          </w:tcPr>
          <w:p w14:paraId="208E76B6">
            <w:pPr>
              <w:spacing w:before="195" w:line="209" w:lineRule="auto"/>
              <w:ind w:left="224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2"/>
                <w:sz w:val="18"/>
                <w:szCs w:val="18"/>
              </w:rPr>
              <w:t>态</w:t>
            </w:r>
            <w:r>
              <w:rPr>
                <w:rFonts w:ascii="宋体" w:hAnsi="宋体" w:eastAsia="宋体" w:cs="宋体"/>
                <w:spacing w:val="41"/>
                <w:w w:val="101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-2"/>
                <w:sz w:val="18"/>
                <w:szCs w:val="18"/>
              </w:rPr>
              <w:t>度</w:t>
            </w:r>
          </w:p>
        </w:tc>
        <w:tc>
          <w:tcPr>
            <w:tcW w:w="686" w:type="dxa"/>
            <w:vAlign w:val="top"/>
          </w:tcPr>
          <w:p w14:paraId="565D8376">
            <w:pPr>
              <w:spacing w:before="68" w:line="222" w:lineRule="auto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10"/>
                <w:sz w:val="18"/>
                <w:szCs w:val="18"/>
              </w:rPr>
              <w:t>响应</w:t>
            </w:r>
            <w:r>
              <w:rPr>
                <w:rFonts w:ascii="宋体" w:hAnsi="宋体" w:eastAsia="宋体" w:cs="宋体"/>
                <w:b/>
                <w:bCs/>
                <w:spacing w:val="-13"/>
                <w:sz w:val="18"/>
                <w:szCs w:val="18"/>
              </w:rPr>
              <w:t>及时</w:t>
            </w:r>
            <w:r>
              <w:rPr>
                <w:rFonts w:ascii="宋体" w:hAnsi="宋体" w:eastAsia="宋体" w:cs="宋体"/>
                <w:b/>
                <w:bCs/>
                <w:spacing w:val="-2"/>
                <w:sz w:val="18"/>
                <w:szCs w:val="18"/>
              </w:rPr>
              <w:t>性</w:t>
            </w:r>
          </w:p>
        </w:tc>
        <w:tc>
          <w:tcPr>
            <w:tcW w:w="691" w:type="dxa"/>
            <w:vAlign w:val="top"/>
          </w:tcPr>
          <w:p w14:paraId="211C6FF6">
            <w:pPr>
              <w:spacing w:before="68" w:line="220" w:lineRule="auto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18"/>
                <w:szCs w:val="18"/>
              </w:rPr>
              <w:t>服务</w:t>
            </w:r>
            <w:r>
              <w:rPr>
                <w:rFonts w:ascii="宋体" w:hAnsi="宋体" w:eastAsia="宋体" w:cs="宋体"/>
                <w:b/>
                <w:bCs/>
                <w:spacing w:val="-25"/>
                <w:sz w:val="18"/>
                <w:szCs w:val="18"/>
              </w:rPr>
              <w:t>台回</w:t>
            </w:r>
            <w:r>
              <w:rPr>
                <w:rFonts w:ascii="宋体" w:hAnsi="宋体" w:eastAsia="宋体" w:cs="宋体"/>
                <w:b/>
                <w:bCs/>
                <w:spacing w:val="-2"/>
                <w:sz w:val="18"/>
                <w:szCs w:val="18"/>
              </w:rPr>
              <w:t>访</w:t>
            </w:r>
          </w:p>
        </w:tc>
        <w:tc>
          <w:tcPr>
            <w:tcW w:w="619" w:type="dxa"/>
            <w:vAlign w:val="top"/>
          </w:tcPr>
          <w:p w14:paraId="3F56978E">
            <w:pPr>
              <w:spacing w:before="225" w:line="323" w:lineRule="auto"/>
              <w:ind w:left="113" w:right="99" w:firstLine="2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14"/>
                <w:sz w:val="18"/>
                <w:szCs w:val="18"/>
              </w:rPr>
              <w:t>行为</w:t>
            </w:r>
            <w:r>
              <w:rPr>
                <w:rFonts w:ascii="宋体" w:hAnsi="宋体" w:eastAsia="宋体" w:cs="宋体"/>
                <w:b/>
                <w:bCs/>
                <w:spacing w:val="-6"/>
                <w:sz w:val="18"/>
                <w:szCs w:val="18"/>
              </w:rPr>
              <w:t>规范</w:t>
            </w:r>
          </w:p>
        </w:tc>
        <w:tc>
          <w:tcPr>
            <w:tcW w:w="554" w:type="dxa"/>
            <w:vMerge w:val="continue"/>
            <w:tcBorders>
              <w:top w:val="nil"/>
            </w:tcBorders>
            <w:textDirection w:val="tbRlV"/>
            <w:vAlign w:val="top"/>
          </w:tcPr>
          <w:p w14:paraId="0CAB3E6B">
            <w:pPr>
              <w:pStyle w:val="27"/>
            </w:pPr>
          </w:p>
        </w:tc>
        <w:tc>
          <w:tcPr>
            <w:tcW w:w="491" w:type="dxa"/>
            <w:vMerge w:val="continue"/>
            <w:tcBorders>
              <w:top w:val="nil"/>
            </w:tcBorders>
            <w:textDirection w:val="tbRlV"/>
            <w:vAlign w:val="top"/>
          </w:tcPr>
          <w:p w14:paraId="2F8C6970">
            <w:pPr>
              <w:pStyle w:val="27"/>
            </w:pPr>
          </w:p>
        </w:tc>
      </w:tr>
      <w:tr w14:paraId="596B94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797" w:type="dxa"/>
            <w:vAlign w:val="top"/>
          </w:tcPr>
          <w:p w14:paraId="30FB1B4B">
            <w:pPr>
              <w:spacing w:before="67" w:line="220" w:lineRule="auto"/>
              <w:jc w:val="right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29"/>
                <w:sz w:val="18"/>
                <w:szCs w:val="18"/>
              </w:rPr>
              <w:t>权数（%）</w:t>
            </w:r>
          </w:p>
        </w:tc>
        <w:tc>
          <w:tcPr>
            <w:tcW w:w="621" w:type="dxa"/>
            <w:vAlign w:val="top"/>
          </w:tcPr>
          <w:p w14:paraId="24FFD091">
            <w:pPr>
              <w:spacing w:before="67"/>
              <w:ind w:left="11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10</w:t>
            </w:r>
          </w:p>
        </w:tc>
        <w:tc>
          <w:tcPr>
            <w:tcW w:w="491" w:type="dxa"/>
            <w:vAlign w:val="top"/>
          </w:tcPr>
          <w:p w14:paraId="401315C4">
            <w:pPr>
              <w:spacing w:before="67"/>
              <w:ind w:left="11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7</w:t>
            </w:r>
          </w:p>
        </w:tc>
        <w:tc>
          <w:tcPr>
            <w:tcW w:w="491" w:type="dxa"/>
            <w:vAlign w:val="top"/>
          </w:tcPr>
          <w:p w14:paraId="771C9B70">
            <w:pPr>
              <w:spacing w:before="67"/>
              <w:ind w:left="11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7</w:t>
            </w:r>
          </w:p>
        </w:tc>
        <w:tc>
          <w:tcPr>
            <w:tcW w:w="489" w:type="dxa"/>
            <w:vAlign w:val="top"/>
          </w:tcPr>
          <w:p w14:paraId="44576965">
            <w:pPr>
              <w:spacing w:before="67"/>
              <w:ind w:left="11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7</w:t>
            </w:r>
          </w:p>
        </w:tc>
        <w:tc>
          <w:tcPr>
            <w:tcW w:w="623" w:type="dxa"/>
            <w:vAlign w:val="top"/>
          </w:tcPr>
          <w:p w14:paraId="5DDF5A48">
            <w:pPr>
              <w:spacing w:before="67"/>
              <w:ind w:left="11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7</w:t>
            </w:r>
          </w:p>
        </w:tc>
        <w:tc>
          <w:tcPr>
            <w:tcW w:w="566" w:type="dxa"/>
            <w:vAlign w:val="top"/>
          </w:tcPr>
          <w:p w14:paraId="2E03A892">
            <w:pPr>
              <w:spacing w:before="67"/>
              <w:ind w:left="112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7</w:t>
            </w:r>
          </w:p>
        </w:tc>
        <w:tc>
          <w:tcPr>
            <w:tcW w:w="537" w:type="dxa"/>
            <w:vAlign w:val="top"/>
          </w:tcPr>
          <w:p w14:paraId="26A83103">
            <w:pPr>
              <w:spacing w:before="67"/>
              <w:ind w:left="11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7</w:t>
            </w:r>
          </w:p>
        </w:tc>
        <w:tc>
          <w:tcPr>
            <w:tcW w:w="619" w:type="dxa"/>
            <w:vAlign w:val="top"/>
          </w:tcPr>
          <w:p w14:paraId="74AFAE1A">
            <w:pPr>
              <w:spacing w:before="67"/>
              <w:ind w:left="11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8</w:t>
            </w:r>
          </w:p>
        </w:tc>
        <w:tc>
          <w:tcPr>
            <w:tcW w:w="489" w:type="dxa"/>
            <w:vAlign w:val="top"/>
          </w:tcPr>
          <w:p w14:paraId="4D9CFA78">
            <w:pPr>
              <w:spacing w:before="67"/>
              <w:ind w:left="114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5</w:t>
            </w:r>
          </w:p>
        </w:tc>
        <w:tc>
          <w:tcPr>
            <w:tcW w:w="686" w:type="dxa"/>
            <w:vAlign w:val="top"/>
          </w:tcPr>
          <w:p w14:paraId="65F158FA">
            <w:pPr>
              <w:spacing w:before="67"/>
              <w:ind w:left="112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6</w:t>
            </w:r>
          </w:p>
        </w:tc>
        <w:tc>
          <w:tcPr>
            <w:tcW w:w="691" w:type="dxa"/>
            <w:vAlign w:val="top"/>
          </w:tcPr>
          <w:p w14:paraId="369B3C35">
            <w:pPr>
              <w:spacing w:before="67"/>
              <w:ind w:left="11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6</w:t>
            </w:r>
          </w:p>
        </w:tc>
        <w:tc>
          <w:tcPr>
            <w:tcW w:w="619" w:type="dxa"/>
            <w:vAlign w:val="top"/>
          </w:tcPr>
          <w:p w14:paraId="59293614">
            <w:pPr>
              <w:spacing w:before="67"/>
              <w:ind w:left="116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3</w:t>
            </w:r>
          </w:p>
        </w:tc>
        <w:tc>
          <w:tcPr>
            <w:tcW w:w="554" w:type="dxa"/>
            <w:vAlign w:val="top"/>
          </w:tcPr>
          <w:p w14:paraId="74881E83">
            <w:pPr>
              <w:spacing w:before="67"/>
              <w:ind w:left="12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10</w:t>
            </w:r>
          </w:p>
        </w:tc>
        <w:tc>
          <w:tcPr>
            <w:tcW w:w="491" w:type="dxa"/>
            <w:vAlign w:val="top"/>
          </w:tcPr>
          <w:p w14:paraId="15E8E766">
            <w:pPr>
              <w:spacing w:before="67"/>
              <w:ind w:left="128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10</w:t>
            </w:r>
          </w:p>
        </w:tc>
      </w:tr>
      <w:tr w14:paraId="1996CE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797" w:type="dxa"/>
            <w:vAlign w:val="top"/>
          </w:tcPr>
          <w:p w14:paraId="7E01FA53">
            <w:pPr>
              <w:spacing w:before="68" w:line="220" w:lineRule="auto"/>
              <w:ind w:left="11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18"/>
                <w:szCs w:val="18"/>
              </w:rPr>
              <w:t>很满意</w:t>
            </w:r>
          </w:p>
        </w:tc>
        <w:tc>
          <w:tcPr>
            <w:tcW w:w="621" w:type="dxa"/>
            <w:vAlign w:val="top"/>
          </w:tcPr>
          <w:p w14:paraId="114D3941">
            <w:pPr>
              <w:spacing w:before="68" w:line="238" w:lineRule="auto"/>
              <w:ind w:left="11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5"/>
                <w:sz w:val="18"/>
                <w:szCs w:val="18"/>
              </w:rPr>
              <w:t>100</w:t>
            </w:r>
          </w:p>
        </w:tc>
        <w:tc>
          <w:tcPr>
            <w:tcW w:w="491" w:type="dxa"/>
            <w:vAlign w:val="top"/>
          </w:tcPr>
          <w:p w14:paraId="1C0E2904">
            <w:pPr>
              <w:spacing w:before="68" w:line="238" w:lineRule="auto"/>
              <w:ind w:left="12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5"/>
                <w:sz w:val="18"/>
                <w:szCs w:val="18"/>
              </w:rPr>
              <w:t>100</w:t>
            </w:r>
          </w:p>
        </w:tc>
        <w:tc>
          <w:tcPr>
            <w:tcW w:w="491" w:type="dxa"/>
            <w:vAlign w:val="top"/>
          </w:tcPr>
          <w:p w14:paraId="7A6285D1">
            <w:pPr>
              <w:spacing w:before="68" w:line="238" w:lineRule="auto"/>
              <w:ind w:left="12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5"/>
                <w:sz w:val="18"/>
                <w:szCs w:val="18"/>
              </w:rPr>
              <w:t>100</w:t>
            </w:r>
          </w:p>
        </w:tc>
        <w:tc>
          <w:tcPr>
            <w:tcW w:w="489" w:type="dxa"/>
            <w:vAlign w:val="top"/>
          </w:tcPr>
          <w:p w14:paraId="4265106A">
            <w:pPr>
              <w:spacing w:before="68" w:line="238" w:lineRule="auto"/>
              <w:ind w:left="12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5"/>
                <w:sz w:val="18"/>
                <w:szCs w:val="18"/>
              </w:rPr>
              <w:t>100</w:t>
            </w:r>
          </w:p>
        </w:tc>
        <w:tc>
          <w:tcPr>
            <w:tcW w:w="623" w:type="dxa"/>
            <w:vAlign w:val="top"/>
          </w:tcPr>
          <w:p w14:paraId="4A5225B3">
            <w:pPr>
              <w:spacing w:before="68" w:line="238" w:lineRule="auto"/>
              <w:ind w:left="12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5"/>
                <w:sz w:val="18"/>
                <w:szCs w:val="18"/>
              </w:rPr>
              <w:t>100</w:t>
            </w:r>
          </w:p>
        </w:tc>
        <w:tc>
          <w:tcPr>
            <w:tcW w:w="566" w:type="dxa"/>
            <w:vAlign w:val="top"/>
          </w:tcPr>
          <w:p w14:paraId="1F65E5A9">
            <w:pPr>
              <w:spacing w:before="68" w:line="238" w:lineRule="auto"/>
              <w:ind w:left="12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5"/>
                <w:sz w:val="18"/>
                <w:szCs w:val="18"/>
              </w:rPr>
              <w:t>100</w:t>
            </w:r>
          </w:p>
        </w:tc>
        <w:tc>
          <w:tcPr>
            <w:tcW w:w="537" w:type="dxa"/>
            <w:vAlign w:val="top"/>
          </w:tcPr>
          <w:p w14:paraId="46FA4027">
            <w:pPr>
              <w:spacing w:before="68" w:line="238" w:lineRule="auto"/>
              <w:ind w:left="122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5"/>
                <w:sz w:val="18"/>
                <w:szCs w:val="18"/>
              </w:rPr>
              <w:t>100</w:t>
            </w:r>
          </w:p>
        </w:tc>
        <w:tc>
          <w:tcPr>
            <w:tcW w:w="619" w:type="dxa"/>
            <w:vAlign w:val="top"/>
          </w:tcPr>
          <w:p w14:paraId="12B801B3">
            <w:pPr>
              <w:spacing w:before="68" w:line="238" w:lineRule="auto"/>
              <w:ind w:left="12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5"/>
                <w:sz w:val="18"/>
                <w:szCs w:val="18"/>
              </w:rPr>
              <w:t>100</w:t>
            </w:r>
          </w:p>
        </w:tc>
        <w:tc>
          <w:tcPr>
            <w:tcW w:w="489" w:type="dxa"/>
            <w:vAlign w:val="top"/>
          </w:tcPr>
          <w:p w14:paraId="4CA22D1A">
            <w:pPr>
              <w:spacing w:before="68" w:line="238" w:lineRule="auto"/>
              <w:ind w:left="124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5"/>
                <w:sz w:val="18"/>
                <w:szCs w:val="18"/>
              </w:rPr>
              <w:t>100</w:t>
            </w:r>
          </w:p>
        </w:tc>
        <w:tc>
          <w:tcPr>
            <w:tcW w:w="686" w:type="dxa"/>
            <w:vAlign w:val="top"/>
          </w:tcPr>
          <w:p w14:paraId="3DF8E073">
            <w:pPr>
              <w:spacing w:before="68" w:line="238" w:lineRule="auto"/>
              <w:ind w:left="124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5"/>
                <w:sz w:val="18"/>
                <w:szCs w:val="18"/>
              </w:rPr>
              <w:t>100</w:t>
            </w:r>
          </w:p>
        </w:tc>
        <w:tc>
          <w:tcPr>
            <w:tcW w:w="691" w:type="dxa"/>
            <w:vAlign w:val="top"/>
          </w:tcPr>
          <w:p w14:paraId="38DF329C">
            <w:pPr>
              <w:spacing w:before="68" w:line="238" w:lineRule="auto"/>
              <w:ind w:left="125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5"/>
                <w:sz w:val="18"/>
                <w:szCs w:val="18"/>
              </w:rPr>
              <w:t>100</w:t>
            </w:r>
          </w:p>
        </w:tc>
        <w:tc>
          <w:tcPr>
            <w:tcW w:w="619" w:type="dxa"/>
            <w:vAlign w:val="top"/>
          </w:tcPr>
          <w:p w14:paraId="2545FDE1">
            <w:pPr>
              <w:spacing w:before="68" w:line="238" w:lineRule="auto"/>
              <w:ind w:left="126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5"/>
                <w:sz w:val="18"/>
                <w:szCs w:val="18"/>
              </w:rPr>
              <w:t>100</w:t>
            </w:r>
          </w:p>
        </w:tc>
        <w:tc>
          <w:tcPr>
            <w:tcW w:w="554" w:type="dxa"/>
            <w:vAlign w:val="top"/>
          </w:tcPr>
          <w:p w14:paraId="678BF902">
            <w:pPr>
              <w:spacing w:before="68" w:line="238" w:lineRule="auto"/>
              <w:ind w:left="12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5"/>
                <w:sz w:val="18"/>
                <w:szCs w:val="18"/>
              </w:rPr>
              <w:t>100</w:t>
            </w:r>
          </w:p>
        </w:tc>
        <w:tc>
          <w:tcPr>
            <w:tcW w:w="491" w:type="dxa"/>
            <w:vAlign w:val="top"/>
          </w:tcPr>
          <w:p w14:paraId="24C8EE6B">
            <w:pPr>
              <w:spacing w:before="68" w:line="238" w:lineRule="auto"/>
              <w:ind w:left="128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5"/>
                <w:sz w:val="18"/>
                <w:szCs w:val="18"/>
              </w:rPr>
              <w:t>100</w:t>
            </w:r>
          </w:p>
        </w:tc>
      </w:tr>
      <w:tr w14:paraId="34C095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797" w:type="dxa"/>
            <w:vAlign w:val="top"/>
          </w:tcPr>
          <w:p w14:paraId="01988214">
            <w:pPr>
              <w:spacing w:before="69" w:line="220" w:lineRule="auto"/>
              <w:ind w:left="11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18"/>
                <w:szCs w:val="18"/>
              </w:rPr>
              <w:t>满意</w:t>
            </w:r>
          </w:p>
        </w:tc>
        <w:tc>
          <w:tcPr>
            <w:tcW w:w="621" w:type="dxa"/>
            <w:vAlign w:val="top"/>
          </w:tcPr>
          <w:p w14:paraId="08F35531">
            <w:pPr>
              <w:spacing w:before="69" w:line="237" w:lineRule="auto"/>
              <w:ind w:left="106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90</w:t>
            </w:r>
          </w:p>
        </w:tc>
        <w:tc>
          <w:tcPr>
            <w:tcW w:w="491" w:type="dxa"/>
            <w:vAlign w:val="top"/>
          </w:tcPr>
          <w:p w14:paraId="36E02FBA">
            <w:pPr>
              <w:spacing w:before="69" w:line="237" w:lineRule="auto"/>
              <w:ind w:left="10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90</w:t>
            </w:r>
          </w:p>
        </w:tc>
        <w:tc>
          <w:tcPr>
            <w:tcW w:w="491" w:type="dxa"/>
            <w:vAlign w:val="top"/>
          </w:tcPr>
          <w:p w14:paraId="7BA08C88">
            <w:pPr>
              <w:spacing w:before="69" w:line="237" w:lineRule="auto"/>
              <w:ind w:left="10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90</w:t>
            </w:r>
          </w:p>
        </w:tc>
        <w:tc>
          <w:tcPr>
            <w:tcW w:w="489" w:type="dxa"/>
            <w:vAlign w:val="top"/>
          </w:tcPr>
          <w:p w14:paraId="3253C66C">
            <w:pPr>
              <w:spacing w:before="69" w:line="237" w:lineRule="auto"/>
              <w:ind w:left="10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90</w:t>
            </w:r>
          </w:p>
        </w:tc>
        <w:tc>
          <w:tcPr>
            <w:tcW w:w="623" w:type="dxa"/>
            <w:vAlign w:val="top"/>
          </w:tcPr>
          <w:p w14:paraId="5C69581B">
            <w:pPr>
              <w:spacing w:before="69" w:line="237" w:lineRule="auto"/>
              <w:ind w:left="10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90</w:t>
            </w:r>
          </w:p>
        </w:tc>
        <w:tc>
          <w:tcPr>
            <w:tcW w:w="566" w:type="dxa"/>
            <w:vAlign w:val="top"/>
          </w:tcPr>
          <w:p w14:paraId="754766DC">
            <w:pPr>
              <w:spacing w:before="69" w:line="237" w:lineRule="auto"/>
              <w:ind w:left="108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90</w:t>
            </w:r>
          </w:p>
        </w:tc>
        <w:tc>
          <w:tcPr>
            <w:tcW w:w="537" w:type="dxa"/>
            <w:vAlign w:val="top"/>
          </w:tcPr>
          <w:p w14:paraId="1E69E0CD">
            <w:pPr>
              <w:spacing w:before="69" w:line="237" w:lineRule="auto"/>
              <w:ind w:left="10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90</w:t>
            </w:r>
          </w:p>
        </w:tc>
        <w:tc>
          <w:tcPr>
            <w:tcW w:w="619" w:type="dxa"/>
            <w:vAlign w:val="top"/>
          </w:tcPr>
          <w:p w14:paraId="64E09CDA">
            <w:pPr>
              <w:spacing w:before="69" w:line="237" w:lineRule="auto"/>
              <w:ind w:left="11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90</w:t>
            </w:r>
          </w:p>
        </w:tc>
        <w:tc>
          <w:tcPr>
            <w:tcW w:w="489" w:type="dxa"/>
            <w:vAlign w:val="top"/>
          </w:tcPr>
          <w:p w14:paraId="05C70ECF">
            <w:pPr>
              <w:spacing w:before="69" w:line="237" w:lineRule="auto"/>
              <w:ind w:left="11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90</w:t>
            </w:r>
          </w:p>
        </w:tc>
        <w:tc>
          <w:tcPr>
            <w:tcW w:w="686" w:type="dxa"/>
            <w:vAlign w:val="top"/>
          </w:tcPr>
          <w:p w14:paraId="328F0A5B">
            <w:pPr>
              <w:spacing w:before="69" w:line="237" w:lineRule="auto"/>
              <w:ind w:left="11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90</w:t>
            </w:r>
          </w:p>
        </w:tc>
        <w:tc>
          <w:tcPr>
            <w:tcW w:w="691" w:type="dxa"/>
            <w:vAlign w:val="top"/>
          </w:tcPr>
          <w:p w14:paraId="6324CEAA">
            <w:pPr>
              <w:spacing w:before="69" w:line="237" w:lineRule="auto"/>
              <w:ind w:left="112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90</w:t>
            </w:r>
          </w:p>
        </w:tc>
        <w:tc>
          <w:tcPr>
            <w:tcW w:w="619" w:type="dxa"/>
            <w:vAlign w:val="top"/>
          </w:tcPr>
          <w:p w14:paraId="004A0B2E">
            <w:pPr>
              <w:spacing w:before="69" w:line="237" w:lineRule="auto"/>
              <w:ind w:left="11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90</w:t>
            </w:r>
          </w:p>
        </w:tc>
        <w:tc>
          <w:tcPr>
            <w:tcW w:w="554" w:type="dxa"/>
            <w:vAlign w:val="top"/>
          </w:tcPr>
          <w:p w14:paraId="1AF6C215">
            <w:pPr>
              <w:spacing w:before="69" w:line="237" w:lineRule="auto"/>
              <w:ind w:left="114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90</w:t>
            </w:r>
          </w:p>
        </w:tc>
        <w:tc>
          <w:tcPr>
            <w:tcW w:w="491" w:type="dxa"/>
            <w:vAlign w:val="top"/>
          </w:tcPr>
          <w:p w14:paraId="262ED94B">
            <w:pPr>
              <w:spacing w:before="69" w:line="237" w:lineRule="auto"/>
              <w:ind w:left="115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90</w:t>
            </w:r>
          </w:p>
        </w:tc>
      </w:tr>
      <w:tr w14:paraId="1E0C1F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797" w:type="dxa"/>
            <w:vAlign w:val="top"/>
          </w:tcPr>
          <w:p w14:paraId="16750782">
            <w:pPr>
              <w:spacing w:before="70" w:line="221" w:lineRule="auto"/>
              <w:ind w:left="112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18"/>
                <w:szCs w:val="18"/>
              </w:rPr>
              <w:t>一般</w:t>
            </w:r>
          </w:p>
        </w:tc>
        <w:tc>
          <w:tcPr>
            <w:tcW w:w="621" w:type="dxa"/>
            <w:vAlign w:val="top"/>
          </w:tcPr>
          <w:p w14:paraId="0041E786">
            <w:pPr>
              <w:spacing w:before="70" w:line="236" w:lineRule="auto"/>
              <w:ind w:left="11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70</w:t>
            </w:r>
          </w:p>
        </w:tc>
        <w:tc>
          <w:tcPr>
            <w:tcW w:w="491" w:type="dxa"/>
            <w:vAlign w:val="top"/>
          </w:tcPr>
          <w:p w14:paraId="13729009">
            <w:pPr>
              <w:spacing w:before="70" w:line="236" w:lineRule="auto"/>
              <w:ind w:left="11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70</w:t>
            </w:r>
          </w:p>
        </w:tc>
        <w:tc>
          <w:tcPr>
            <w:tcW w:w="491" w:type="dxa"/>
            <w:vAlign w:val="top"/>
          </w:tcPr>
          <w:p w14:paraId="4C13059C">
            <w:pPr>
              <w:spacing w:before="70" w:line="236" w:lineRule="auto"/>
              <w:ind w:left="11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70</w:t>
            </w:r>
          </w:p>
        </w:tc>
        <w:tc>
          <w:tcPr>
            <w:tcW w:w="489" w:type="dxa"/>
            <w:vAlign w:val="top"/>
          </w:tcPr>
          <w:p w14:paraId="6E62B627">
            <w:pPr>
              <w:spacing w:before="70" w:line="236" w:lineRule="auto"/>
              <w:ind w:left="11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70</w:t>
            </w:r>
          </w:p>
        </w:tc>
        <w:tc>
          <w:tcPr>
            <w:tcW w:w="623" w:type="dxa"/>
            <w:vAlign w:val="top"/>
          </w:tcPr>
          <w:p w14:paraId="22326E80">
            <w:pPr>
              <w:spacing w:before="70" w:line="236" w:lineRule="auto"/>
              <w:ind w:left="11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70</w:t>
            </w:r>
          </w:p>
        </w:tc>
        <w:tc>
          <w:tcPr>
            <w:tcW w:w="566" w:type="dxa"/>
            <w:vAlign w:val="top"/>
          </w:tcPr>
          <w:p w14:paraId="0A39F479">
            <w:pPr>
              <w:spacing w:before="70" w:line="236" w:lineRule="auto"/>
              <w:ind w:left="112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70</w:t>
            </w:r>
          </w:p>
        </w:tc>
        <w:tc>
          <w:tcPr>
            <w:tcW w:w="537" w:type="dxa"/>
            <w:vAlign w:val="top"/>
          </w:tcPr>
          <w:p w14:paraId="0CD47344">
            <w:pPr>
              <w:spacing w:before="70" w:line="236" w:lineRule="auto"/>
              <w:ind w:left="11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70</w:t>
            </w:r>
          </w:p>
        </w:tc>
        <w:tc>
          <w:tcPr>
            <w:tcW w:w="619" w:type="dxa"/>
            <w:vAlign w:val="top"/>
          </w:tcPr>
          <w:p w14:paraId="77E996D2">
            <w:pPr>
              <w:spacing w:before="70" w:line="236" w:lineRule="auto"/>
              <w:ind w:left="114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70</w:t>
            </w:r>
          </w:p>
        </w:tc>
        <w:tc>
          <w:tcPr>
            <w:tcW w:w="489" w:type="dxa"/>
            <w:vAlign w:val="top"/>
          </w:tcPr>
          <w:p w14:paraId="0301B09C">
            <w:pPr>
              <w:spacing w:before="70" w:line="236" w:lineRule="auto"/>
              <w:ind w:left="115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70</w:t>
            </w:r>
          </w:p>
        </w:tc>
        <w:tc>
          <w:tcPr>
            <w:tcW w:w="686" w:type="dxa"/>
            <w:vAlign w:val="top"/>
          </w:tcPr>
          <w:p w14:paraId="39FE9882">
            <w:pPr>
              <w:spacing w:before="70" w:line="236" w:lineRule="auto"/>
              <w:ind w:left="115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70</w:t>
            </w:r>
          </w:p>
        </w:tc>
        <w:tc>
          <w:tcPr>
            <w:tcW w:w="691" w:type="dxa"/>
            <w:vAlign w:val="top"/>
          </w:tcPr>
          <w:p w14:paraId="5320FFD5">
            <w:pPr>
              <w:spacing w:before="70" w:line="236" w:lineRule="auto"/>
              <w:ind w:left="116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70</w:t>
            </w:r>
          </w:p>
        </w:tc>
        <w:tc>
          <w:tcPr>
            <w:tcW w:w="619" w:type="dxa"/>
            <w:vAlign w:val="top"/>
          </w:tcPr>
          <w:p w14:paraId="394D178B">
            <w:pPr>
              <w:spacing w:before="70" w:line="236" w:lineRule="auto"/>
              <w:ind w:left="11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70</w:t>
            </w:r>
          </w:p>
        </w:tc>
        <w:tc>
          <w:tcPr>
            <w:tcW w:w="554" w:type="dxa"/>
            <w:vAlign w:val="top"/>
          </w:tcPr>
          <w:p w14:paraId="4EB596A5">
            <w:pPr>
              <w:spacing w:before="70" w:line="236" w:lineRule="auto"/>
              <w:ind w:left="118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70</w:t>
            </w:r>
          </w:p>
        </w:tc>
        <w:tc>
          <w:tcPr>
            <w:tcW w:w="491" w:type="dxa"/>
            <w:vAlign w:val="top"/>
          </w:tcPr>
          <w:p w14:paraId="13AB8796">
            <w:pPr>
              <w:spacing w:before="70" w:line="236" w:lineRule="auto"/>
              <w:ind w:left="11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70</w:t>
            </w:r>
          </w:p>
        </w:tc>
      </w:tr>
      <w:tr w14:paraId="3B2510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797" w:type="dxa"/>
            <w:vAlign w:val="top"/>
          </w:tcPr>
          <w:p w14:paraId="3B229325">
            <w:pPr>
              <w:spacing w:before="71" w:line="220" w:lineRule="auto"/>
              <w:ind w:left="112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18"/>
                <w:szCs w:val="18"/>
              </w:rPr>
              <w:t>不满意</w:t>
            </w:r>
          </w:p>
        </w:tc>
        <w:tc>
          <w:tcPr>
            <w:tcW w:w="621" w:type="dxa"/>
            <w:vAlign w:val="top"/>
          </w:tcPr>
          <w:p w14:paraId="7BF49545">
            <w:pPr>
              <w:spacing w:before="71" w:line="235" w:lineRule="auto"/>
              <w:ind w:left="10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491" w:type="dxa"/>
            <w:vAlign w:val="top"/>
          </w:tcPr>
          <w:p w14:paraId="420C4ABC">
            <w:pPr>
              <w:spacing w:before="71" w:line="235" w:lineRule="auto"/>
              <w:ind w:left="108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491" w:type="dxa"/>
            <w:vAlign w:val="top"/>
          </w:tcPr>
          <w:p w14:paraId="5D30F732">
            <w:pPr>
              <w:spacing w:before="71" w:line="235" w:lineRule="auto"/>
              <w:ind w:left="108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489" w:type="dxa"/>
            <w:vAlign w:val="top"/>
          </w:tcPr>
          <w:p w14:paraId="542E4841">
            <w:pPr>
              <w:spacing w:before="71" w:line="235" w:lineRule="auto"/>
              <w:ind w:left="108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623" w:type="dxa"/>
            <w:vAlign w:val="top"/>
          </w:tcPr>
          <w:p w14:paraId="670D47DB">
            <w:pPr>
              <w:spacing w:before="71" w:line="235" w:lineRule="auto"/>
              <w:ind w:left="108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566" w:type="dxa"/>
            <w:vAlign w:val="top"/>
          </w:tcPr>
          <w:p w14:paraId="7B2B35FD">
            <w:pPr>
              <w:spacing w:before="71" w:line="235" w:lineRule="auto"/>
              <w:ind w:left="10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537" w:type="dxa"/>
            <w:vAlign w:val="top"/>
          </w:tcPr>
          <w:p w14:paraId="366ABC28">
            <w:pPr>
              <w:spacing w:before="71" w:line="235" w:lineRule="auto"/>
              <w:ind w:left="11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619" w:type="dxa"/>
            <w:vAlign w:val="top"/>
          </w:tcPr>
          <w:p w14:paraId="427F38D5">
            <w:pPr>
              <w:spacing w:before="71" w:line="235" w:lineRule="auto"/>
              <w:ind w:left="11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489" w:type="dxa"/>
            <w:vAlign w:val="top"/>
          </w:tcPr>
          <w:p w14:paraId="42353698">
            <w:pPr>
              <w:spacing w:before="71" w:line="235" w:lineRule="auto"/>
              <w:ind w:left="112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686" w:type="dxa"/>
            <w:vAlign w:val="top"/>
          </w:tcPr>
          <w:p w14:paraId="362D43A3">
            <w:pPr>
              <w:spacing w:before="71" w:line="235" w:lineRule="auto"/>
              <w:ind w:left="112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691" w:type="dxa"/>
            <w:vAlign w:val="top"/>
          </w:tcPr>
          <w:p w14:paraId="1CA9FDD3">
            <w:pPr>
              <w:spacing w:before="71" w:line="235" w:lineRule="auto"/>
              <w:ind w:left="11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619" w:type="dxa"/>
            <w:vAlign w:val="top"/>
          </w:tcPr>
          <w:p w14:paraId="2E46F6D8">
            <w:pPr>
              <w:spacing w:before="71" w:line="235" w:lineRule="auto"/>
              <w:ind w:left="114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554" w:type="dxa"/>
            <w:vAlign w:val="top"/>
          </w:tcPr>
          <w:p w14:paraId="03FC6A5B">
            <w:pPr>
              <w:spacing w:before="71" w:line="235" w:lineRule="auto"/>
              <w:ind w:left="115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491" w:type="dxa"/>
            <w:vAlign w:val="top"/>
          </w:tcPr>
          <w:p w14:paraId="64D489CD">
            <w:pPr>
              <w:spacing w:before="71" w:line="235" w:lineRule="auto"/>
              <w:ind w:left="116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</w:tr>
      <w:tr w14:paraId="29F55C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797" w:type="dxa"/>
            <w:vAlign w:val="top"/>
          </w:tcPr>
          <w:p w14:paraId="01384D7A">
            <w:pPr>
              <w:spacing w:before="72" w:line="220" w:lineRule="auto"/>
              <w:ind w:left="11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9"/>
                <w:sz w:val="18"/>
                <w:szCs w:val="18"/>
              </w:rPr>
              <w:t>很不满</w:t>
            </w:r>
          </w:p>
        </w:tc>
        <w:tc>
          <w:tcPr>
            <w:tcW w:w="621" w:type="dxa"/>
            <w:vAlign w:val="top"/>
          </w:tcPr>
          <w:p w14:paraId="0A2CCF48">
            <w:pPr>
              <w:spacing w:before="72"/>
              <w:ind w:left="104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-10</w:t>
            </w:r>
          </w:p>
        </w:tc>
        <w:tc>
          <w:tcPr>
            <w:tcW w:w="491" w:type="dxa"/>
            <w:vAlign w:val="top"/>
          </w:tcPr>
          <w:p w14:paraId="4FCA5C20">
            <w:pPr>
              <w:spacing w:before="72"/>
              <w:ind w:left="105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-10</w:t>
            </w:r>
          </w:p>
        </w:tc>
        <w:tc>
          <w:tcPr>
            <w:tcW w:w="491" w:type="dxa"/>
            <w:vAlign w:val="top"/>
          </w:tcPr>
          <w:p w14:paraId="44A67F5F">
            <w:pPr>
              <w:spacing w:before="72"/>
              <w:ind w:left="105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-10</w:t>
            </w:r>
          </w:p>
        </w:tc>
        <w:tc>
          <w:tcPr>
            <w:tcW w:w="489" w:type="dxa"/>
            <w:vAlign w:val="top"/>
          </w:tcPr>
          <w:p w14:paraId="246D31D2">
            <w:pPr>
              <w:spacing w:before="72"/>
              <w:ind w:left="105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-10</w:t>
            </w:r>
          </w:p>
        </w:tc>
        <w:tc>
          <w:tcPr>
            <w:tcW w:w="623" w:type="dxa"/>
            <w:vAlign w:val="top"/>
          </w:tcPr>
          <w:p w14:paraId="6D2BB6C5">
            <w:pPr>
              <w:spacing w:before="72"/>
              <w:ind w:left="105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-10</w:t>
            </w:r>
          </w:p>
        </w:tc>
        <w:tc>
          <w:tcPr>
            <w:tcW w:w="566" w:type="dxa"/>
            <w:vAlign w:val="top"/>
          </w:tcPr>
          <w:p w14:paraId="39F4FECF">
            <w:pPr>
              <w:spacing w:before="72"/>
              <w:ind w:left="106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-10</w:t>
            </w:r>
          </w:p>
        </w:tc>
        <w:tc>
          <w:tcPr>
            <w:tcW w:w="537" w:type="dxa"/>
            <w:vAlign w:val="top"/>
          </w:tcPr>
          <w:p w14:paraId="7AFEE59C">
            <w:pPr>
              <w:spacing w:before="72"/>
              <w:ind w:left="10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-10</w:t>
            </w:r>
          </w:p>
        </w:tc>
        <w:tc>
          <w:tcPr>
            <w:tcW w:w="619" w:type="dxa"/>
            <w:vAlign w:val="top"/>
          </w:tcPr>
          <w:p w14:paraId="116C4706">
            <w:pPr>
              <w:spacing w:before="72"/>
              <w:ind w:left="108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-10</w:t>
            </w:r>
          </w:p>
        </w:tc>
        <w:tc>
          <w:tcPr>
            <w:tcW w:w="489" w:type="dxa"/>
            <w:vAlign w:val="top"/>
          </w:tcPr>
          <w:p w14:paraId="1CA94339">
            <w:pPr>
              <w:spacing w:before="72"/>
              <w:ind w:left="10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-10</w:t>
            </w:r>
          </w:p>
        </w:tc>
        <w:tc>
          <w:tcPr>
            <w:tcW w:w="686" w:type="dxa"/>
            <w:vAlign w:val="top"/>
          </w:tcPr>
          <w:p w14:paraId="46423254">
            <w:pPr>
              <w:spacing w:before="72"/>
              <w:ind w:left="10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-10</w:t>
            </w:r>
          </w:p>
        </w:tc>
        <w:tc>
          <w:tcPr>
            <w:tcW w:w="691" w:type="dxa"/>
            <w:vAlign w:val="top"/>
          </w:tcPr>
          <w:p w14:paraId="699951F1">
            <w:pPr>
              <w:spacing w:before="72"/>
              <w:ind w:left="11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-10</w:t>
            </w:r>
          </w:p>
        </w:tc>
        <w:tc>
          <w:tcPr>
            <w:tcW w:w="619" w:type="dxa"/>
            <w:vAlign w:val="top"/>
          </w:tcPr>
          <w:p w14:paraId="7BC22BB5">
            <w:pPr>
              <w:spacing w:before="72"/>
              <w:ind w:left="11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-10</w:t>
            </w:r>
          </w:p>
        </w:tc>
        <w:tc>
          <w:tcPr>
            <w:tcW w:w="554" w:type="dxa"/>
            <w:vAlign w:val="top"/>
          </w:tcPr>
          <w:p w14:paraId="56F065DC">
            <w:pPr>
              <w:spacing w:before="72"/>
              <w:ind w:left="112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-10</w:t>
            </w:r>
          </w:p>
        </w:tc>
        <w:tc>
          <w:tcPr>
            <w:tcW w:w="491" w:type="dxa"/>
            <w:vAlign w:val="top"/>
          </w:tcPr>
          <w:p w14:paraId="2C12338B">
            <w:pPr>
              <w:spacing w:before="72"/>
              <w:ind w:left="11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-10</w:t>
            </w:r>
          </w:p>
        </w:tc>
      </w:tr>
    </w:tbl>
    <w:p w14:paraId="031C8499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改进与验证</w:t>
      </w:r>
    </w:p>
    <w:p w14:paraId="35471194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报告编制：</w:t>
      </w:r>
      <w:r>
        <w:rPr>
          <w:rFonts w:hint="eastAsia"/>
          <w:lang w:val="en-US" w:eastAsia="zh-CN"/>
        </w:rPr>
        <w:t>服务台专员</w:t>
      </w:r>
      <w:r>
        <w:rPr>
          <w:rFonts w:hint="default"/>
          <w:lang w:val="en-US" w:eastAsia="zh-CN"/>
        </w:rPr>
        <w:t>基于统计分析结果，编制《客户满意度分析报告》，评估优劣，识别改进机会。</w:t>
      </w:r>
    </w:p>
    <w:p w14:paraId="09E4EFFD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措施制定与实施：报告应提交至管理层，并分发至相关责任部门。责任部门需对报告中指出的问题分析根本原因，制定并实施纠正与预防措施。</w:t>
      </w:r>
    </w:p>
    <w:p w14:paraId="258AEBA3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效果跟踪：</w:t>
      </w:r>
      <w:r>
        <w:rPr>
          <w:rFonts w:hint="eastAsia"/>
          <w:lang w:val="en-US" w:eastAsia="zh-CN"/>
        </w:rPr>
        <w:t>服务台专员</w:t>
      </w:r>
      <w:r>
        <w:rPr>
          <w:rFonts w:hint="default"/>
          <w:lang w:val="en-US" w:eastAsia="zh-CN"/>
        </w:rPr>
        <w:t>及运维部</w:t>
      </w:r>
      <w:r>
        <w:rPr>
          <w:rFonts w:hint="eastAsia"/>
          <w:lang w:val="en-US" w:eastAsia="zh-CN"/>
        </w:rPr>
        <w:t>经理</w:t>
      </w:r>
      <w:r>
        <w:rPr>
          <w:rFonts w:hint="default"/>
          <w:lang w:val="en-US" w:eastAsia="zh-CN"/>
        </w:rPr>
        <w:t>负责对改进措施的实施效果进行跟踪验证，确保问题得到有效解决，形成管理闭环。</w:t>
      </w:r>
    </w:p>
    <w:p w14:paraId="646CB7F1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Style w:val="38"/>
          <w:rFonts w:hint="default" w:eastAsia="宋体"/>
          <w:lang w:val="en-US" w:eastAsia="zh-CN"/>
        </w:rPr>
      </w:pPr>
      <w:bookmarkStart w:id="10" w:name="bookmark3"/>
      <w:bookmarkEnd w:id="10"/>
      <w:bookmarkStart w:id="11" w:name="_Toc26732"/>
      <w:bookmarkStart w:id="12" w:name="_Toc17424"/>
      <w:r>
        <w:rPr>
          <w:rStyle w:val="38"/>
          <w:rFonts w:hint="eastAsia" w:eastAsia="宋体"/>
          <w:lang w:val="en-US" w:eastAsia="zh-CN"/>
        </w:rPr>
        <w:t>附则</w:t>
      </w:r>
      <w:bookmarkEnd w:id="11"/>
      <w:bookmarkEnd w:id="12"/>
    </w:p>
    <w:p w14:paraId="282C941D"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本制度最终解释权和修订权归</w:t>
      </w:r>
      <w:r>
        <w:rPr>
          <w:rFonts w:hint="eastAsia" w:ascii="宋体" w:hAnsi="宋体" w:cs="宋体"/>
          <w:spacing w:val="-1"/>
          <w:sz w:val="24"/>
          <w:szCs w:val="24"/>
          <w:lang w:val="en-US" w:eastAsia="zh-CN"/>
        </w:rPr>
        <w:t>质量</w:t>
      </w:r>
      <w:r>
        <w:rPr>
          <w:rFonts w:hint="eastAsia" w:ascii="宋体" w:hAnsi="宋体" w:eastAsia="宋体" w:cs="宋体"/>
          <w:spacing w:val="-1"/>
          <w:sz w:val="24"/>
          <w:szCs w:val="24"/>
          <w:lang w:eastAsia="zh-CN"/>
        </w:rPr>
        <w:t>部</w:t>
      </w:r>
      <w:r>
        <w:rPr>
          <w:rFonts w:ascii="宋体" w:hAnsi="宋体" w:eastAsia="宋体" w:cs="宋体"/>
          <w:spacing w:val="-1"/>
          <w:sz w:val="24"/>
          <w:szCs w:val="24"/>
        </w:rPr>
        <w:t>。</w:t>
      </w:r>
    </w:p>
    <w:p w14:paraId="55478B85"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ascii="宋体" w:hAnsi="宋体" w:eastAsia="宋体" w:cs="宋体"/>
          <w:spacing w:val="-2"/>
          <w:sz w:val="24"/>
          <w:szCs w:val="24"/>
        </w:rPr>
        <w:t>本制度自颁布之日起施行。</w:t>
      </w:r>
    </w:p>
    <w:p w14:paraId="29412FC6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3" w:name="bookmark14"/>
      <w:bookmarkEnd w:id="13"/>
      <w:bookmarkStart w:id="14" w:name="_Toc3387"/>
      <w:r>
        <w:rPr>
          <w:rFonts w:hint="eastAsia"/>
          <w:lang w:val="en-US" w:eastAsia="zh-CN"/>
        </w:rPr>
        <w:t>附件</w:t>
      </w:r>
      <w:bookmarkEnd w:id="14"/>
    </w:p>
    <w:p w14:paraId="0F950DB0">
      <w:pPr>
        <w:pStyle w:val="29"/>
        <w:numPr>
          <w:ilvl w:val="0"/>
          <w:numId w:val="5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《客户满意度调查表》</w:t>
      </w:r>
    </w:p>
    <w:p w14:paraId="1BFFC2BD">
      <w:pPr>
        <w:pStyle w:val="29"/>
        <w:numPr>
          <w:ilvl w:val="0"/>
          <w:numId w:val="5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《年度客户沟通计划》（模板）</w:t>
      </w:r>
    </w:p>
    <w:p w14:paraId="4EA0AB46">
      <w:pPr>
        <w:pStyle w:val="29"/>
        <w:numPr>
          <w:ilvl w:val="0"/>
          <w:numId w:val="5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《客户沟通记录表》</w:t>
      </w:r>
    </w:p>
    <w:p w14:paraId="4863664D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5" w:name="_Toc16438"/>
      <w:r>
        <w:rPr>
          <w:rFonts w:hint="eastAsia"/>
          <w:lang w:val="en-US" w:eastAsia="zh-CN"/>
        </w:rPr>
        <w:t>记录</w:t>
      </w:r>
      <w:bookmarkEnd w:id="15"/>
    </w:p>
    <w:p w14:paraId="7316BE7D">
      <w:pPr>
        <w:pStyle w:val="29"/>
        <w:numPr>
          <w:ilvl w:val="0"/>
          <w:numId w:val="6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《客户满意度调查表》</w:t>
      </w:r>
    </w:p>
    <w:p w14:paraId="3B972902">
      <w:pPr>
        <w:pStyle w:val="29"/>
        <w:numPr>
          <w:ilvl w:val="0"/>
          <w:numId w:val="6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《客户满意度分析报告》</w:t>
      </w:r>
    </w:p>
    <w:p w14:paraId="662A543A">
      <w:pPr>
        <w:pStyle w:val="29"/>
        <w:numPr>
          <w:ilvl w:val="0"/>
          <w:numId w:val="6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《年度客户沟通计划》</w:t>
      </w:r>
    </w:p>
    <w:p w14:paraId="0498D037">
      <w:pPr>
        <w:pStyle w:val="29"/>
        <w:numPr>
          <w:ilvl w:val="0"/>
          <w:numId w:val="6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《客户沟通记录》</w:t>
      </w:r>
    </w:p>
    <w:p w14:paraId="2178546E">
      <w:pPr>
        <w:pStyle w:val="29"/>
        <w:numPr>
          <w:ilvl w:val="0"/>
          <w:numId w:val="6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《客户沟通分析报告》</w:t>
      </w:r>
    </w:p>
    <w:p w14:paraId="05F117FD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所有记录由客服管理部及相关执行部门保存，定期移交质量部统一归档，保存期限不少于3年。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619F5D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67310</wp:posOffset>
          </wp:positionH>
          <wp:positionV relativeFrom="paragraph">
            <wp:posOffset>-345440</wp:posOffset>
          </wp:positionV>
          <wp:extent cx="718820" cy="461010"/>
          <wp:effectExtent l="0" t="0" r="12700" b="11430"/>
          <wp:wrapNone/>
          <wp:docPr id="1" name="图片 1" descr="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18820" cy="4610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阿克苏智汇人才服务</w:t>
    </w:r>
    <w:r>
      <w:rPr>
        <w:rFonts w:hint="eastAsia" w:eastAsiaTheme="minorEastAsia"/>
        <w:lang w:eastAsia="zh-CN"/>
      </w:rPr>
      <w:t>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B28837AC"/>
    <w:multiLevelType w:val="singleLevel"/>
    <w:tmpl w:val="B28837A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C3B8755F"/>
    <w:multiLevelType w:val="singleLevel"/>
    <w:tmpl w:val="C3B8755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DF641A9F"/>
    <w:multiLevelType w:val="singleLevel"/>
    <w:tmpl w:val="DF641A9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F9539CF3"/>
    <w:multiLevelType w:val="singleLevel"/>
    <w:tmpl w:val="F9539CF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6F132AB3"/>
    <w:multiLevelType w:val="singleLevel"/>
    <w:tmpl w:val="6F132AB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4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55574E"/>
    <w:rsid w:val="00A83AD0"/>
    <w:rsid w:val="0104303E"/>
    <w:rsid w:val="01910A08"/>
    <w:rsid w:val="01E07299"/>
    <w:rsid w:val="0211124F"/>
    <w:rsid w:val="029C58B6"/>
    <w:rsid w:val="02CE3596"/>
    <w:rsid w:val="02EA4873"/>
    <w:rsid w:val="03515129"/>
    <w:rsid w:val="040604A9"/>
    <w:rsid w:val="05980692"/>
    <w:rsid w:val="05D215EF"/>
    <w:rsid w:val="066F433A"/>
    <w:rsid w:val="073D05DE"/>
    <w:rsid w:val="07660A33"/>
    <w:rsid w:val="080D4B60"/>
    <w:rsid w:val="09975029"/>
    <w:rsid w:val="09D65B51"/>
    <w:rsid w:val="09F2400E"/>
    <w:rsid w:val="09FC6C3A"/>
    <w:rsid w:val="0A9450C5"/>
    <w:rsid w:val="0B9F1F73"/>
    <w:rsid w:val="0C3C3C66"/>
    <w:rsid w:val="0CF12BAD"/>
    <w:rsid w:val="0E3B2427"/>
    <w:rsid w:val="0F4F57A4"/>
    <w:rsid w:val="0FD115EF"/>
    <w:rsid w:val="127C6B6A"/>
    <w:rsid w:val="130628D8"/>
    <w:rsid w:val="131B2827"/>
    <w:rsid w:val="138334F2"/>
    <w:rsid w:val="139879D4"/>
    <w:rsid w:val="13D604FC"/>
    <w:rsid w:val="147A532B"/>
    <w:rsid w:val="14B42767"/>
    <w:rsid w:val="15CC7E09"/>
    <w:rsid w:val="15EC2259"/>
    <w:rsid w:val="1658169C"/>
    <w:rsid w:val="16B0772A"/>
    <w:rsid w:val="170D06D9"/>
    <w:rsid w:val="17103D25"/>
    <w:rsid w:val="172A3039"/>
    <w:rsid w:val="17710C68"/>
    <w:rsid w:val="17BE19D3"/>
    <w:rsid w:val="17DF25E3"/>
    <w:rsid w:val="17FF44C5"/>
    <w:rsid w:val="18846779"/>
    <w:rsid w:val="18B74DA0"/>
    <w:rsid w:val="18D70F9E"/>
    <w:rsid w:val="18F465E3"/>
    <w:rsid w:val="19E020D4"/>
    <w:rsid w:val="1A9923D9"/>
    <w:rsid w:val="1AF23E6D"/>
    <w:rsid w:val="1BC709D8"/>
    <w:rsid w:val="1C1147C7"/>
    <w:rsid w:val="1D997E65"/>
    <w:rsid w:val="1E692834"/>
    <w:rsid w:val="1E9E057A"/>
    <w:rsid w:val="1EA510FD"/>
    <w:rsid w:val="1EFD1033"/>
    <w:rsid w:val="1FCB1131"/>
    <w:rsid w:val="203A14A3"/>
    <w:rsid w:val="20D91840"/>
    <w:rsid w:val="215C6FE4"/>
    <w:rsid w:val="22A31EF1"/>
    <w:rsid w:val="23A26E72"/>
    <w:rsid w:val="23DD436C"/>
    <w:rsid w:val="23FD59BD"/>
    <w:rsid w:val="23FE1AD5"/>
    <w:rsid w:val="24001B90"/>
    <w:rsid w:val="24E67A51"/>
    <w:rsid w:val="25151247"/>
    <w:rsid w:val="26C427F2"/>
    <w:rsid w:val="278E54D7"/>
    <w:rsid w:val="2908648D"/>
    <w:rsid w:val="294F2DD3"/>
    <w:rsid w:val="2975663E"/>
    <w:rsid w:val="2A8B6C6D"/>
    <w:rsid w:val="2A952A67"/>
    <w:rsid w:val="2B612949"/>
    <w:rsid w:val="2BEC4D36"/>
    <w:rsid w:val="2E500F2E"/>
    <w:rsid w:val="2F041F69"/>
    <w:rsid w:val="2FC11C09"/>
    <w:rsid w:val="30D04186"/>
    <w:rsid w:val="313034EA"/>
    <w:rsid w:val="316023F9"/>
    <w:rsid w:val="31F938DC"/>
    <w:rsid w:val="333746BC"/>
    <w:rsid w:val="346C0F8D"/>
    <w:rsid w:val="350D601C"/>
    <w:rsid w:val="35AC1918"/>
    <w:rsid w:val="35DE67BA"/>
    <w:rsid w:val="36883480"/>
    <w:rsid w:val="36914A2B"/>
    <w:rsid w:val="3699743B"/>
    <w:rsid w:val="36F40D85"/>
    <w:rsid w:val="375F2433"/>
    <w:rsid w:val="37971BCD"/>
    <w:rsid w:val="37DF17C6"/>
    <w:rsid w:val="37E666B0"/>
    <w:rsid w:val="39137979"/>
    <w:rsid w:val="3914549F"/>
    <w:rsid w:val="39461AFC"/>
    <w:rsid w:val="39970912"/>
    <w:rsid w:val="3AA27E8C"/>
    <w:rsid w:val="3B4C6B7D"/>
    <w:rsid w:val="3C265C15"/>
    <w:rsid w:val="3D5F4115"/>
    <w:rsid w:val="3E287A22"/>
    <w:rsid w:val="3E5A3954"/>
    <w:rsid w:val="3F2D2E17"/>
    <w:rsid w:val="3F636838"/>
    <w:rsid w:val="40646D0C"/>
    <w:rsid w:val="40873B7A"/>
    <w:rsid w:val="40B11D0C"/>
    <w:rsid w:val="41DA54D8"/>
    <w:rsid w:val="420C7DD7"/>
    <w:rsid w:val="426164FC"/>
    <w:rsid w:val="43223C0F"/>
    <w:rsid w:val="4368266F"/>
    <w:rsid w:val="43996CCD"/>
    <w:rsid w:val="447D214A"/>
    <w:rsid w:val="45EE5265"/>
    <w:rsid w:val="46274A64"/>
    <w:rsid w:val="46BF2EEE"/>
    <w:rsid w:val="470E352E"/>
    <w:rsid w:val="472B0583"/>
    <w:rsid w:val="47BB1907"/>
    <w:rsid w:val="48313978"/>
    <w:rsid w:val="484F2050"/>
    <w:rsid w:val="48FA020D"/>
    <w:rsid w:val="49885819"/>
    <w:rsid w:val="49B33C44"/>
    <w:rsid w:val="49CC1B61"/>
    <w:rsid w:val="4B0215FB"/>
    <w:rsid w:val="4B5A7CCA"/>
    <w:rsid w:val="4BFB76A0"/>
    <w:rsid w:val="4D1711C1"/>
    <w:rsid w:val="4D6F1473"/>
    <w:rsid w:val="4E0B149B"/>
    <w:rsid w:val="4E606D65"/>
    <w:rsid w:val="4ED96B17"/>
    <w:rsid w:val="4F6F1974"/>
    <w:rsid w:val="503F29AA"/>
    <w:rsid w:val="50577CF3"/>
    <w:rsid w:val="50BE0A71"/>
    <w:rsid w:val="511C5981"/>
    <w:rsid w:val="51F0261E"/>
    <w:rsid w:val="523C53F3"/>
    <w:rsid w:val="52BA09F4"/>
    <w:rsid w:val="54646E83"/>
    <w:rsid w:val="5486504B"/>
    <w:rsid w:val="54CB7E3C"/>
    <w:rsid w:val="562E7748"/>
    <w:rsid w:val="5632548A"/>
    <w:rsid w:val="56E26572"/>
    <w:rsid w:val="58675193"/>
    <w:rsid w:val="58A65CBC"/>
    <w:rsid w:val="58FC706B"/>
    <w:rsid w:val="5A6610C0"/>
    <w:rsid w:val="5B092532"/>
    <w:rsid w:val="5B0B0058"/>
    <w:rsid w:val="5B85605C"/>
    <w:rsid w:val="5D0D6A04"/>
    <w:rsid w:val="5D2E6280"/>
    <w:rsid w:val="5D6677C8"/>
    <w:rsid w:val="5E6A32E8"/>
    <w:rsid w:val="5EFB71CC"/>
    <w:rsid w:val="5EFF6126"/>
    <w:rsid w:val="5F65066B"/>
    <w:rsid w:val="5F7F1015"/>
    <w:rsid w:val="613E7799"/>
    <w:rsid w:val="6200643D"/>
    <w:rsid w:val="62312EF8"/>
    <w:rsid w:val="62B334AF"/>
    <w:rsid w:val="6300246C"/>
    <w:rsid w:val="640721AA"/>
    <w:rsid w:val="652A5B5F"/>
    <w:rsid w:val="657F3B1C"/>
    <w:rsid w:val="659C092C"/>
    <w:rsid w:val="65C43C25"/>
    <w:rsid w:val="678C0773"/>
    <w:rsid w:val="67DB0DB2"/>
    <w:rsid w:val="68804644"/>
    <w:rsid w:val="69071A78"/>
    <w:rsid w:val="695D5F23"/>
    <w:rsid w:val="698F3ABF"/>
    <w:rsid w:val="6A941E18"/>
    <w:rsid w:val="6BAD2A66"/>
    <w:rsid w:val="6BF30DC0"/>
    <w:rsid w:val="6D834437"/>
    <w:rsid w:val="6DB46CBB"/>
    <w:rsid w:val="6E6623CD"/>
    <w:rsid w:val="6F887A72"/>
    <w:rsid w:val="711772FF"/>
    <w:rsid w:val="713003C1"/>
    <w:rsid w:val="7141437C"/>
    <w:rsid w:val="7358665A"/>
    <w:rsid w:val="73593BFF"/>
    <w:rsid w:val="73644352"/>
    <w:rsid w:val="73C7661F"/>
    <w:rsid w:val="76960176"/>
    <w:rsid w:val="769D3E02"/>
    <w:rsid w:val="76F6721A"/>
    <w:rsid w:val="776C1A27"/>
    <w:rsid w:val="78212811"/>
    <w:rsid w:val="783E1615"/>
    <w:rsid w:val="78CA2EA9"/>
    <w:rsid w:val="78D1021F"/>
    <w:rsid w:val="79D55FA9"/>
    <w:rsid w:val="7A1940E8"/>
    <w:rsid w:val="7A2F7467"/>
    <w:rsid w:val="7B4E6013"/>
    <w:rsid w:val="7B5C70B9"/>
    <w:rsid w:val="7C066719"/>
    <w:rsid w:val="7C434C07"/>
    <w:rsid w:val="7C715DD6"/>
    <w:rsid w:val="7D0C7F34"/>
    <w:rsid w:val="7DA168CE"/>
    <w:rsid w:val="7DF905A7"/>
    <w:rsid w:val="7E086FD3"/>
    <w:rsid w:val="7E9E696A"/>
    <w:rsid w:val="7EFE1AFE"/>
    <w:rsid w:val="7F016EF9"/>
    <w:rsid w:val="7F596D35"/>
    <w:rsid w:val="7F8244DD"/>
    <w:rsid w:val="7F9B10FB"/>
    <w:rsid w:val="7FE77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231</Words>
  <Characters>305</Characters>
  <Lines>0</Lines>
  <Paragraphs>0</Paragraphs>
  <TotalTime>17</TotalTime>
  <ScaleCrop>false</ScaleCrop>
  <LinksUpToDate>false</LinksUpToDate>
  <CharactersWithSpaces>355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2025-10-23T09:55:04Z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2052-12.1.0.23125</vt:lpwstr>
  </property>
  <property fmtid="{D5CDD505-2E9C-101B-9397-08002B2CF9AE}" pid="4" name="KSOTemplateDocerSaveRecord">
    <vt:lpwstr>eyJoZGlkIjoiMDY5NmFjMmM4ZTljMGJiZDAxN2JmYTc0NGI0NmFiNDgiLCJ1c2VySWQiOiIxMDc1MzgyOSJ9</vt:lpwstr>
  </property>
</Properties>
</file>