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A6FA79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1" w:beforeLines="1000"/>
        <w:textAlignment w:val="baseline"/>
      </w:pPr>
      <w:bookmarkStart w:id="0" w:name="_Toc260"/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7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阿克苏智汇人才服务有限</w:t>
      </w:r>
      <w:r>
        <w:t>公司</w:t>
      </w:r>
      <w:bookmarkEnd w:id="0"/>
    </w:p>
    <w:p w14:paraId="1CA859AD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5" w:afterLines="200"/>
        <w:textAlignment w:val="baseline"/>
        <w:rPr>
          <w:rFonts w:hint="eastAsia"/>
          <w:lang w:val="en-US" w:eastAsia="zh-CN"/>
        </w:rPr>
      </w:pPr>
      <w:bookmarkStart w:id="1" w:name="_Toc27520"/>
      <w:r>
        <w:rPr>
          <w:rFonts w:hint="eastAsia"/>
          <w:lang w:val="en-US" w:eastAsia="zh-CN"/>
        </w:rPr>
        <w:t>运维服务质量改进管理制度</w:t>
      </w:r>
      <w:bookmarkEnd w:id="1"/>
    </w:p>
    <w:p w14:paraId="5C99E7F3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5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ZHRC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4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5</w:t>
      </w:r>
      <w:bookmarkStart w:id="16" w:name="_GoBack"/>
      <w:bookmarkEnd w:id="16"/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42161A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47F44E0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质量部</w:t>
            </w:r>
          </w:p>
        </w:tc>
        <w:tc>
          <w:tcPr>
            <w:tcW w:w="2708" w:type="dxa"/>
          </w:tcPr>
          <w:p w14:paraId="527A687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2025.04.10</w:t>
            </w:r>
          </w:p>
        </w:tc>
      </w:tr>
      <w:tr w14:paraId="5E0463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2740D4D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fitText w:val="840" w:id="1984234543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fitText w:val="840" w:id="1984234543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fitText w:val="630" w:id="1331981115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fitText w:val="630" w:id="1331981115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36398C7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2025.04.10</w:t>
            </w:r>
          </w:p>
        </w:tc>
      </w:tr>
      <w:tr w14:paraId="40129E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5A92757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fitText w:val="840" w:id="722747876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fitText w:val="840" w:id="722747876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 w:asciiTheme="minorAscii" w:hAnsiTheme="minorAscii" w:eastAsiaTheme="minorEastAsia"/>
                <w:spacing w:val="105"/>
                <w:kern w:val="0"/>
                <w:sz w:val="21"/>
                <w:u w:val="single"/>
                <w:fitText w:val="630" w:id="676873217"/>
                <w:vertAlign w:val="baseline"/>
                <w:lang w:val="en-US" w:eastAsia="zh-CN"/>
              </w:rPr>
              <w:t>任</w:t>
            </w: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u w:val="single"/>
                <w:fitText w:val="630" w:id="676873217"/>
                <w:vertAlign w:val="baseline"/>
                <w:lang w:val="en-US" w:eastAsia="zh-CN"/>
              </w:rPr>
              <w:t>鸿</w:t>
            </w:r>
          </w:p>
        </w:tc>
        <w:tc>
          <w:tcPr>
            <w:tcW w:w="2708" w:type="dxa"/>
          </w:tcPr>
          <w:p w14:paraId="370F750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2025.04.10</w:t>
            </w:r>
          </w:p>
        </w:tc>
      </w:tr>
    </w:tbl>
    <w:p w14:paraId="1DEAC454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36153578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7137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 w14:paraId="6544A00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2689" w:type="dxa"/>
          </w:tcPr>
          <w:p w14:paraId="4FB3B2C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778067E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4D1CA80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 w14:paraId="5C6967C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631C0F8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2689" w:type="dxa"/>
          </w:tcPr>
          <w:p w14:paraId="2EE12DA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2025.0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4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19" w:type="dxa"/>
          </w:tcPr>
          <w:p w14:paraId="10AEB2A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2292F32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 w14:paraId="43AD957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105"/>
                <w:kern w:val="0"/>
                <w:sz w:val="21"/>
                <w:fitText w:val="630" w:id="676873217"/>
                <w:vertAlign w:val="baseline"/>
                <w:lang w:val="en-US" w:eastAsia="zh-CN"/>
              </w:rPr>
              <w:t>任</w:t>
            </w: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fitText w:val="630" w:id="676873217"/>
                <w:vertAlign w:val="baseline"/>
                <w:lang w:val="en-US" w:eastAsia="zh-CN"/>
              </w:rPr>
              <w:t>鸿</w:t>
            </w:r>
          </w:p>
        </w:tc>
      </w:tr>
      <w:tr w14:paraId="6E20967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05F4A44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2146625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2B88D56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2F14922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55B855D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3A84474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58C703F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4970AE5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0C73CE0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7F7C35E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2689" w:type="dxa"/>
          </w:tcPr>
          <w:p w14:paraId="750A30C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67969F4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64D59CB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2677625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38E27D40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36A6F98F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4ABEBB57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阿克苏智汇人才服务有限</w:t>
          </w:r>
          <w:r>
            <w:t>公司</w:t>
          </w:r>
          <w:r>
            <w:tab/>
          </w:r>
          <w:r>
            <w:fldChar w:fldCharType="begin"/>
          </w:r>
          <w:r>
            <w:instrText xml:space="preserve"> PAGEREF _Toc260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CE182B2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_Toc27520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人员工作交接管理制度</w:t>
          </w:r>
          <w:r>
            <w:tab/>
          </w:r>
          <w:r>
            <w:fldChar w:fldCharType="begin"/>
          </w:r>
          <w:r>
            <w:instrText xml:space="preserve"> PAGEREF _Toc27520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82C915D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_Toc1824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  <w:lang w:val="en-US" w:eastAsia="zh-CN"/>
            </w:rPr>
            <w:t>总则</w:t>
          </w:r>
          <w:r>
            <w:tab/>
          </w:r>
          <w:r>
            <w:fldChar w:fldCharType="begin"/>
          </w:r>
          <w:r>
            <w:instrText xml:space="preserve"> PAGEREF _Toc1824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79FBFB8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_Toc13369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1.1. </w:t>
          </w:r>
          <w:r>
            <w:rPr>
              <w:rFonts w:hint="eastAsia"/>
              <w:lang w:val="en-US" w:eastAsia="zh-CN"/>
            </w:rPr>
            <w:t>目的</w:t>
          </w:r>
          <w:r>
            <w:tab/>
          </w:r>
          <w:r>
            <w:fldChar w:fldCharType="begin"/>
          </w:r>
          <w:r>
            <w:instrText xml:space="preserve"> PAGEREF _Toc13369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3BA5005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_Toc14707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 </w:t>
          </w:r>
          <w:r>
            <w:rPr>
              <w:rFonts w:hint="eastAsia"/>
              <w:lang w:val="en-US" w:eastAsia="zh-CN"/>
            </w:rPr>
            <w:t>适用范围</w:t>
          </w:r>
          <w:r>
            <w:tab/>
          </w:r>
          <w:r>
            <w:fldChar w:fldCharType="begin"/>
          </w:r>
          <w:r>
            <w:instrText xml:space="preserve"> PAGEREF _Toc14707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2E4BBA8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_Toc7905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_Toc7905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62DE691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_Toc32565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_Toc32565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87E0AE4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_Toc7310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引用依据</w:t>
          </w:r>
          <w:r>
            <w:tab/>
          </w:r>
          <w:r>
            <w:fldChar w:fldCharType="begin"/>
          </w:r>
          <w:r>
            <w:instrText xml:space="preserve"> PAGEREF _Toc7310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ADE403E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_Toc30963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定义与术语</w:t>
          </w:r>
          <w:r>
            <w:tab/>
          </w:r>
          <w:r>
            <w:fldChar w:fldCharType="begin"/>
          </w:r>
          <w:r>
            <w:instrText xml:space="preserve"> PAGEREF _Toc30963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06B10D3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_Toc14370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管理内容与要求</w:t>
          </w:r>
          <w:r>
            <w:tab/>
          </w:r>
          <w:r>
            <w:fldChar w:fldCharType="begin"/>
          </w:r>
          <w:r>
            <w:instrText xml:space="preserve"> PAGEREF _Toc14370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559700C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_Toc26732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 w:eastAsia="宋体"/>
              <w:lang w:val="en-US" w:eastAsia="zh-CN"/>
            </w:rPr>
            <w:t xml:space="preserve">5. </w:t>
          </w:r>
          <w:r>
            <w:rPr>
              <w:rFonts w:hint="eastAsia" w:eastAsia="宋体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_Toc26732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8EBAF05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_Toc3387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_Toc3387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AD5517B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_Toc16438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_Toc16438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5460C6F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272DD7F8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36869B1E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2" w:name="_Toc1824"/>
      <w:r>
        <w:rPr>
          <w:rFonts w:hint="eastAsia"/>
          <w:lang w:val="en-US" w:eastAsia="zh-CN"/>
        </w:rPr>
        <w:t>总则</w:t>
      </w:r>
      <w:bookmarkEnd w:id="2"/>
    </w:p>
    <w:p w14:paraId="151B219A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3" w:name="_Toc13369"/>
      <w:r>
        <w:rPr>
          <w:rFonts w:hint="eastAsia"/>
          <w:lang w:val="en-US" w:eastAsia="zh-CN"/>
        </w:rPr>
        <w:t>目的</w:t>
      </w:r>
      <w:bookmarkEnd w:id="3"/>
    </w:p>
    <w:p w14:paraId="36628F8C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为建立系统化、规范化的运维服务质量改进机制，确保公司运维服务体系持续符合ITSS标准要求，不断提升服务能力与客户满意度，形成自我完善的良性循环，特制定本制度。</w:t>
      </w:r>
    </w:p>
    <w:p w14:paraId="74FEE6B8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4" w:name="_Toc14707"/>
      <w:r>
        <w:rPr>
          <w:rFonts w:hint="eastAsia"/>
          <w:lang w:val="en-US" w:eastAsia="zh-CN"/>
        </w:rPr>
        <w:t>适用范围</w:t>
      </w:r>
      <w:bookmarkEnd w:id="4"/>
    </w:p>
    <w:p w14:paraId="6C568316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本制度适用于公司运维服务体系全过程的改进活动，包括服务策划、实施、检查、改进各环节，涵盖运维部、质量部、人力部、采购部等所有相关部门。</w:t>
      </w:r>
    </w:p>
    <w:p w14:paraId="1D3A738A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5" w:name="_Toc7905"/>
      <w:r>
        <w:rPr>
          <w:rFonts w:hint="eastAsia"/>
          <w:lang w:val="en-US" w:eastAsia="zh-CN"/>
        </w:rPr>
        <w:t>原则</w:t>
      </w:r>
      <w:bookmarkEnd w:id="5"/>
    </w:p>
    <w:p w14:paraId="3C2A957A">
      <w:pPr>
        <w:pStyle w:val="29"/>
        <w:numPr>
          <w:ilvl w:val="0"/>
          <w:numId w:val="2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数据驱动：基于客观数据和事实进行分析决策</w:t>
      </w:r>
    </w:p>
    <w:p w14:paraId="60DB6329">
      <w:pPr>
        <w:pStyle w:val="29"/>
        <w:numPr>
          <w:ilvl w:val="0"/>
          <w:numId w:val="2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预防为主：注重事前预防而非事后纠正</w:t>
      </w:r>
    </w:p>
    <w:p w14:paraId="012CF257">
      <w:pPr>
        <w:pStyle w:val="29"/>
        <w:numPr>
          <w:ilvl w:val="0"/>
          <w:numId w:val="2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全员参与：鼓励全体员工参与改进活动</w:t>
      </w:r>
    </w:p>
    <w:p w14:paraId="66F118E8">
      <w:pPr>
        <w:pStyle w:val="29"/>
        <w:numPr>
          <w:ilvl w:val="0"/>
          <w:numId w:val="2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持续循环：遵循PDCA循环，实现持续改进</w:t>
      </w:r>
    </w:p>
    <w:p w14:paraId="7C972AF9">
      <w:pPr>
        <w:pStyle w:val="29"/>
        <w:numPr>
          <w:ilvl w:val="0"/>
          <w:numId w:val="2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客户导向：以提升客户满意度为最终目标</w:t>
      </w:r>
    </w:p>
    <w:p w14:paraId="6FCDC5E8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6" w:name="_Toc32565"/>
      <w:r>
        <w:rPr>
          <w:rFonts w:hint="eastAsia"/>
          <w:lang w:val="en-US" w:eastAsia="zh-CN"/>
        </w:rPr>
        <w:t>岗位职责</w:t>
      </w:r>
      <w:bookmarkEnd w:id="6"/>
    </w:p>
    <w:p w14:paraId="4DFFC2A6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公司高层</w:t>
      </w:r>
    </w:p>
    <w:p w14:paraId="70210119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负责审批重大改进项目，提供资源保障，主持管理评审</w:t>
      </w:r>
    </w:p>
    <w:p w14:paraId="1AACFCF1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管理者代表</w:t>
      </w:r>
    </w:p>
    <w:p w14:paraId="2AAC2679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负责组织改进活动的策划、实施和效果验证，向高层报告改进情况</w:t>
      </w:r>
    </w:p>
    <w:p w14:paraId="5389E5C7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质量部</w:t>
      </w:r>
    </w:p>
    <w:p w14:paraId="27E087DC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作为归口管理部门，负责改进过程的监督、测量和分析，组织改进活动</w:t>
      </w:r>
    </w:p>
    <w:p w14:paraId="734875A3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运维部</w:t>
      </w:r>
    </w:p>
    <w:p w14:paraId="226CDE78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负责本部门改进措施的具体实施，报告改进效果</w:t>
      </w:r>
    </w:p>
    <w:p w14:paraId="744EE43F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7" w:name="_Toc7310"/>
      <w:r>
        <w:rPr>
          <w:rFonts w:hint="eastAsia"/>
          <w:lang w:val="en-US" w:eastAsia="zh-CN"/>
        </w:rPr>
        <w:t>引用依据</w:t>
      </w:r>
      <w:bookmarkEnd w:id="7"/>
    </w:p>
    <w:p w14:paraId="15874DEA">
      <w:pPr>
        <w:pStyle w:val="29"/>
        <w:numPr>
          <w:ilvl w:val="0"/>
          <w:numId w:val="3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28827.1-2022 《信息技术服务 运行维护 第1部分：通用要求》</w:t>
      </w:r>
    </w:p>
    <w:p w14:paraId="0D03BC1A">
      <w:pPr>
        <w:pStyle w:val="29"/>
        <w:numPr>
          <w:ilvl w:val="0"/>
          <w:numId w:val="3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28827.2-2012 《信息技术服务 运行维护 第2部分：交付规范》</w:t>
      </w:r>
    </w:p>
    <w:p w14:paraId="3A115DF4">
      <w:pPr>
        <w:pStyle w:val="29"/>
        <w:numPr>
          <w:ilvl w:val="0"/>
          <w:numId w:val="3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28827.3-2012 《信息技术服务 运行维护 第3部分：应急响应规范》</w:t>
      </w:r>
    </w:p>
    <w:p w14:paraId="7A70BCE8">
      <w:pPr>
        <w:pStyle w:val="29"/>
        <w:numPr>
          <w:ilvl w:val="0"/>
          <w:numId w:val="3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T/CESA 1299—2023 《信息技术服务 运行维护服务能力成熟度模型》</w:t>
      </w:r>
    </w:p>
    <w:p w14:paraId="3078E5D4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8" w:name="_Toc30963"/>
      <w:r>
        <w:rPr>
          <w:rFonts w:hint="eastAsia"/>
          <w:lang w:val="en-US" w:eastAsia="zh-CN"/>
        </w:rPr>
        <w:t>定义与术语</w:t>
      </w:r>
      <w:bookmarkEnd w:id="8"/>
    </w:p>
    <w:p w14:paraId="1FA385FE">
      <w:pPr>
        <w:pStyle w:val="30"/>
        <w:bidi w:val="0"/>
        <w:rPr>
          <w:rFonts w:hint="eastAsia"/>
        </w:rPr>
      </w:pPr>
      <w:r>
        <w:rPr>
          <w:rFonts w:hint="eastAsia"/>
        </w:rPr>
        <w:t>纠正措施</w:t>
      </w:r>
    </w:p>
    <w:p w14:paraId="015AE3A4">
      <w:pPr>
        <w:pStyle w:val="29"/>
        <w:rPr>
          <w:rFonts w:hint="eastAsia"/>
        </w:rPr>
      </w:pPr>
      <w:r>
        <w:rPr>
          <w:rFonts w:hint="eastAsia"/>
        </w:rPr>
        <w:t>为消除已发现的不合格或其他不期望情况的原因所采取的措施</w:t>
      </w:r>
    </w:p>
    <w:p w14:paraId="28336B62">
      <w:pPr>
        <w:pStyle w:val="30"/>
        <w:bidi w:val="0"/>
        <w:rPr>
          <w:rFonts w:hint="eastAsia"/>
        </w:rPr>
      </w:pPr>
      <w:r>
        <w:rPr>
          <w:rFonts w:hint="eastAsia"/>
        </w:rPr>
        <w:t>预防措施</w:t>
      </w:r>
    </w:p>
    <w:p w14:paraId="6EC695DF">
      <w:pPr>
        <w:pStyle w:val="29"/>
        <w:rPr>
          <w:rFonts w:hint="eastAsia"/>
        </w:rPr>
      </w:pPr>
      <w:r>
        <w:rPr>
          <w:rFonts w:hint="eastAsia"/>
        </w:rPr>
        <w:t>为消除潜在不合格或其他潜在不期望情况的原因所采取的措施</w:t>
      </w:r>
    </w:p>
    <w:p w14:paraId="5AD2354B">
      <w:pPr>
        <w:pStyle w:val="30"/>
        <w:bidi w:val="0"/>
        <w:rPr>
          <w:rFonts w:hint="eastAsia"/>
        </w:rPr>
      </w:pPr>
      <w:r>
        <w:rPr>
          <w:rFonts w:hint="eastAsia"/>
        </w:rPr>
        <w:t>持续改进</w:t>
      </w:r>
    </w:p>
    <w:p w14:paraId="0594502F">
      <w:pPr>
        <w:pStyle w:val="29"/>
        <w:rPr>
          <w:rFonts w:hint="eastAsia"/>
        </w:rPr>
      </w:pPr>
      <w:r>
        <w:rPr>
          <w:rFonts w:hint="eastAsia"/>
        </w:rPr>
        <w:t>循环活动，通过使用质量方针、目标、审核结果、数据分析、纠正和预防措施以及管理评审，持续改进体系的有效性</w:t>
      </w:r>
    </w:p>
    <w:p w14:paraId="7292030F">
      <w:pPr>
        <w:pStyle w:val="30"/>
        <w:bidi w:val="0"/>
        <w:rPr>
          <w:rFonts w:hint="eastAsia"/>
        </w:rPr>
      </w:pPr>
      <w:r>
        <w:rPr>
          <w:rFonts w:hint="eastAsia"/>
        </w:rPr>
        <w:t>改进项目</w:t>
      </w:r>
    </w:p>
    <w:p w14:paraId="1DB88F66">
      <w:pPr>
        <w:pStyle w:val="29"/>
      </w:pPr>
      <w:r>
        <w:rPr>
          <w:rFonts w:hint="eastAsia"/>
        </w:rPr>
        <w:t>为实现特定改进目标而设立的临时性工作任务</w:t>
      </w:r>
    </w:p>
    <w:p w14:paraId="60EF8C3F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9" w:name="_Toc14370"/>
      <w:r>
        <w:rPr>
          <w:rFonts w:hint="eastAsia"/>
          <w:lang w:val="en-US" w:eastAsia="zh-CN"/>
        </w:rPr>
        <w:t>管理内容与要求</w:t>
      </w:r>
      <w:bookmarkEnd w:id="9"/>
    </w:p>
    <w:p w14:paraId="30BDB2C8">
      <w:pPr>
        <w:pStyle w:val="3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改进机会识别</w:t>
      </w:r>
    </w:p>
    <w:p w14:paraId="27EECEEE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质量部应组织各部门通过以下途径系统识别改进机会</w:t>
      </w:r>
    </w:p>
    <w:p w14:paraId="0C6F1DA2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服务监控数据：服务级别达成情况、事件解决时效、客户满意度等</w:t>
      </w:r>
    </w:p>
    <w:p w14:paraId="3B3CE20F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客户反馈：满意度调查结果、客户投诉、客户建议等</w:t>
      </w:r>
    </w:p>
    <w:p w14:paraId="7D42F2F6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内部审核：体系审核、过程审核、专项审核发现</w:t>
      </w:r>
    </w:p>
    <w:p w14:paraId="7EE3D1A0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管理评审：体系运行情况的系统评价</w:t>
      </w:r>
    </w:p>
    <w:p w14:paraId="46263D7C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员工建议：员工提出的合理化建议</w:t>
      </w:r>
    </w:p>
    <w:p w14:paraId="0CA54804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市场变化：新技术、新要求、竞争态势等</w:t>
      </w:r>
    </w:p>
    <w:p w14:paraId="591E2FAD">
      <w:pPr>
        <w:pStyle w:val="3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改进分类与管理</w:t>
      </w:r>
    </w:p>
    <w:p w14:paraId="7ED4501D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日常改进</w:t>
      </w:r>
    </w:p>
    <w:p w14:paraId="4E88EE19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针对轻微不符合或优化需求，由责任部门在5个工作日内制定并实施改进措施，报质量部备案。包括：</w:t>
      </w:r>
    </w:p>
    <w:p w14:paraId="4B1B176C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作业指导书优化</w:t>
      </w:r>
    </w:p>
    <w:p w14:paraId="1BEA38F2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记录表格完善</w:t>
      </w:r>
    </w:p>
    <w:p w14:paraId="38860735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工作环境改善</w:t>
      </w:r>
    </w:p>
    <w:p w14:paraId="100FFA50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沟通效率提升</w:t>
      </w:r>
    </w:p>
    <w:p w14:paraId="6D477989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纠正与预防措施</w:t>
      </w:r>
    </w:p>
    <w:p w14:paraId="54D9C7D5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针对已发生或潜在的不合格，按以下流程处理：</w:t>
      </w:r>
    </w:p>
    <w:p w14:paraId="68FBAF7C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问题描述：清晰界定问题现象、范围、影响</w:t>
      </w:r>
    </w:p>
    <w:p w14:paraId="1C87D05B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原因分析：使用5Why、鱼骨图等方法分析根本原因</w:t>
      </w:r>
    </w:p>
    <w:p w14:paraId="3010097D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措施制定：针对根本原因制定具体措施，明确责任人和完成时限</w:t>
      </w:r>
    </w:p>
    <w:p w14:paraId="67D21969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措施实施：按计划实施措施，保留实施记录</w:t>
      </w:r>
    </w:p>
    <w:p w14:paraId="0F4F9A18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效果验证：质量部验证措施有效性，如无效则重新分析</w:t>
      </w:r>
    </w:p>
    <w:p w14:paraId="4C217C49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改进项目</w:t>
      </w:r>
    </w:p>
    <w:p w14:paraId="1A9DAB6F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针对重大、系统性改进需求，成立改进项目组，按项目管理方法实施：</w:t>
      </w:r>
    </w:p>
    <w:p w14:paraId="39D31B2A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项目立项：明确目标、范围、资源、计划</w:t>
      </w:r>
    </w:p>
    <w:p w14:paraId="68B209D7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项目实施：按计划执行，定期报告进展</w:t>
      </w:r>
    </w:p>
    <w:p w14:paraId="2E77A3EA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项目验收：验证目标达成情况，总结成果</w:t>
      </w:r>
    </w:p>
    <w:p w14:paraId="341BA167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成果固化：将改进成果标准化，纳入体系文件</w:t>
      </w:r>
    </w:p>
    <w:p w14:paraId="572772E6">
      <w:pPr>
        <w:pStyle w:val="3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改进流程</w:t>
      </w:r>
    </w:p>
    <w:p w14:paraId="74E289C0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为确保改进活动的系统性和有效性，所有改进活动应遵循以下流程：</w:t>
      </w:r>
    </w:p>
    <w:p w14:paraId="2AD2F366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改进机会识别与记录</w:t>
      </w:r>
    </w:p>
    <w:p w14:paraId="74D27E17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各部门通过服务监控、客户反馈、内部审核等途径识别改进机会，并填写《改进机会识别记录》提交至质量部。</w:t>
      </w:r>
    </w:p>
    <w:p w14:paraId="06F60C89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改进需求评估与分类</w:t>
      </w:r>
    </w:p>
    <w:p w14:paraId="6F032823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质量部对收集到的改进机会进行评估，根据影响范围、资源需求、紧急程度等因素，将改进需求分为三类：</w:t>
      </w:r>
    </w:p>
    <w:p w14:paraId="3AC537A8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日常改进</w:t>
      </w:r>
    </w:p>
    <w:p w14:paraId="54723758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纠正与预防措施</w:t>
      </w:r>
    </w:p>
    <w:p w14:paraId="5FD946D5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重大改进项目</w:t>
      </w:r>
    </w:p>
    <w:p w14:paraId="33F11AD7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改进实施路径</w:t>
      </w:r>
    </w:p>
    <w:p w14:paraId="02AE158A">
      <w:pPr>
        <w:pStyle w:val="29"/>
        <w:numPr>
          <w:ilvl w:val="0"/>
          <w:numId w:val="4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日常改进路径</w:t>
      </w:r>
    </w:p>
    <w:p w14:paraId="0B74E6CC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针对评估为日常改进的需求：</w:t>
      </w:r>
    </w:p>
    <w:p w14:paraId="05D22083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质量部向责任部门发出《改进措施通知单》</w:t>
      </w:r>
    </w:p>
    <w:p w14:paraId="504FD850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责任部门在5个工作日内实施改进</w:t>
      </w:r>
    </w:p>
    <w:p w14:paraId="5620E3D2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改进完成后向质量部反馈结果</w:t>
      </w:r>
    </w:p>
    <w:p w14:paraId="40D8D893">
      <w:pPr>
        <w:pStyle w:val="29"/>
        <w:numPr>
          <w:ilvl w:val="0"/>
          <w:numId w:val="4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纠正与预防措施路径</w:t>
      </w:r>
    </w:p>
    <w:p w14:paraId="1D6948EC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针对需要采取纠正或预防措施的需求：</w:t>
      </w:r>
    </w:p>
    <w:p w14:paraId="37D851FE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责任部门进行根本原因分析</w:t>
      </w:r>
    </w:p>
    <w:p w14:paraId="18EF030B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制定具体的措施计划，明确责任人和完成时限</w:t>
      </w:r>
    </w:p>
    <w:p w14:paraId="3825D037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按计划实施措施</w:t>
      </w:r>
    </w:p>
    <w:p w14:paraId="1847EC80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保留完整的实施记录</w:t>
      </w:r>
    </w:p>
    <w:p w14:paraId="236F01FE">
      <w:pPr>
        <w:pStyle w:val="29"/>
        <w:numPr>
          <w:ilvl w:val="0"/>
          <w:numId w:val="4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重大改进项目路径</w:t>
      </w:r>
    </w:p>
    <w:p w14:paraId="0EF52D3E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针对评估为重大改进项目的需求：</w:t>
      </w:r>
    </w:p>
    <w:p w14:paraId="69618764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提交《改进项目立项申请表》</w:t>
      </w:r>
    </w:p>
    <w:p w14:paraId="5406F596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经管理者代表审批后立项</w:t>
      </w:r>
    </w:p>
    <w:p w14:paraId="0BB5A175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组建项目组实施改进</w:t>
      </w:r>
    </w:p>
    <w:p w14:paraId="400EF30C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按项目管理要求定期报告进展</w:t>
      </w:r>
    </w:p>
    <w:p w14:paraId="6A64EA04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效果验证与标准化</w:t>
      </w:r>
    </w:p>
    <w:p w14:paraId="165151A2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质量部对各项改进措施的效果进行验证</w:t>
      </w:r>
    </w:p>
    <w:p w14:paraId="7D71F04B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验证有效的改进措施，由责任部门进行标准化，修订相关体系文件</w:t>
      </w:r>
    </w:p>
    <w:p w14:paraId="7B2706D8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验证无效的改进措施，返回根本原因分析环节重新处理</w:t>
      </w:r>
    </w:p>
    <w:p w14:paraId="4531343A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所有改进成果纳入知识管理体系，通过培训传达给相关人员</w:t>
      </w:r>
    </w:p>
    <w:p w14:paraId="22F27FD7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记录归档</w:t>
      </w:r>
    </w:p>
    <w:p w14:paraId="484DAAF4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改进全过程的所有记录由质量部统一归档保存，作为管理评审和改进效果评估的依据。</w:t>
      </w:r>
    </w:p>
    <w:p w14:paraId="62E43FB7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本流程确保改进活动形成完整的PDCA循环，实现运维服务质量的持续提升。</w:t>
      </w:r>
    </w:p>
    <w:p w14:paraId="7CCAA09C">
      <w:pPr>
        <w:pStyle w:val="3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改进效果评估</w:t>
      </w:r>
    </w:p>
    <w:p w14:paraId="1B554715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质量部负责对各项改进措施的效果进行评估：</w:t>
      </w:r>
    </w:p>
    <w:p w14:paraId="3CC9CF84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指标对比：改进前后关键指标的对比分析</w:t>
      </w:r>
    </w:p>
    <w:p w14:paraId="5F6250CE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客户反馈：通过回访、调查了解客户感知变化</w:t>
      </w:r>
    </w:p>
    <w:p w14:paraId="42EF5FF4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成本效益：评估改进投入与产出效益</w:t>
      </w:r>
    </w:p>
    <w:p w14:paraId="502AA012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体系符合性：评估改进后与标准的符合程度</w:t>
      </w:r>
    </w:p>
    <w:p w14:paraId="03FF94D0">
      <w:pPr>
        <w:pStyle w:val="3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知识管理与标准化</w:t>
      </w:r>
    </w:p>
    <w:p w14:paraId="5D51CB0C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经验总结：成功的改进经验应及时总结，形成最佳实践</w:t>
      </w:r>
    </w:p>
    <w:p w14:paraId="45D330D0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文件更新：涉及体系文件变更的，应及时修订相关文件</w:t>
      </w:r>
    </w:p>
    <w:p w14:paraId="72CDDBE1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培训传达：将改进成果通过培训传达给相关人员</w:t>
      </w:r>
    </w:p>
    <w:p w14:paraId="2F19BB42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案例库建设：建立改进案例库，供全员参考学习</w:t>
      </w:r>
    </w:p>
    <w:p w14:paraId="646CB7F1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Style w:val="38"/>
          <w:rFonts w:hint="default" w:eastAsia="宋体"/>
          <w:lang w:val="en-US" w:eastAsia="zh-CN"/>
        </w:rPr>
      </w:pPr>
      <w:bookmarkStart w:id="10" w:name="bookmark3"/>
      <w:bookmarkEnd w:id="10"/>
      <w:bookmarkStart w:id="11" w:name="_Toc26732"/>
      <w:bookmarkStart w:id="12" w:name="_Toc17424"/>
      <w:r>
        <w:rPr>
          <w:rStyle w:val="38"/>
          <w:rFonts w:hint="eastAsia" w:eastAsia="宋体"/>
          <w:lang w:val="en-US" w:eastAsia="zh-CN"/>
        </w:rPr>
        <w:t>附则</w:t>
      </w:r>
      <w:bookmarkEnd w:id="11"/>
      <w:bookmarkEnd w:id="12"/>
    </w:p>
    <w:p w14:paraId="282C941D">
      <w:pPr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本制度最终解释权和修订权归</w:t>
      </w:r>
      <w:r>
        <w:rPr>
          <w:rFonts w:hint="eastAsia" w:ascii="宋体" w:hAnsi="宋体" w:cs="宋体"/>
          <w:spacing w:val="-1"/>
          <w:sz w:val="24"/>
          <w:szCs w:val="24"/>
          <w:lang w:val="en-US" w:eastAsia="zh-CN"/>
        </w:rPr>
        <w:t>质量</w:t>
      </w:r>
      <w:r>
        <w:rPr>
          <w:rFonts w:hint="eastAsia" w:ascii="宋体" w:hAnsi="宋体" w:eastAsia="宋体" w:cs="宋体"/>
          <w:spacing w:val="-1"/>
          <w:sz w:val="24"/>
          <w:szCs w:val="24"/>
          <w:lang w:eastAsia="zh-CN"/>
        </w:rPr>
        <w:t>部</w:t>
      </w:r>
      <w:r>
        <w:rPr>
          <w:rFonts w:ascii="宋体" w:hAnsi="宋体" w:eastAsia="宋体" w:cs="宋体"/>
          <w:spacing w:val="-1"/>
          <w:sz w:val="24"/>
          <w:szCs w:val="24"/>
        </w:rPr>
        <w:t>。</w:t>
      </w:r>
    </w:p>
    <w:p w14:paraId="55478B85">
      <w:pPr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ascii="宋体" w:hAnsi="宋体" w:eastAsia="宋体" w:cs="宋体"/>
          <w:spacing w:val="-2"/>
          <w:sz w:val="24"/>
          <w:szCs w:val="24"/>
        </w:rPr>
        <w:t>本制度自颁布之日起施行。</w:t>
      </w:r>
    </w:p>
    <w:p w14:paraId="29412FC6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3" w:name="bookmark14"/>
      <w:bookmarkEnd w:id="13"/>
      <w:bookmarkStart w:id="14" w:name="_Toc3387"/>
      <w:r>
        <w:rPr>
          <w:rFonts w:hint="eastAsia"/>
          <w:lang w:val="en-US" w:eastAsia="zh-CN"/>
        </w:rPr>
        <w:t>附件</w:t>
      </w:r>
      <w:bookmarkEnd w:id="14"/>
    </w:p>
    <w:p w14:paraId="3D400F36">
      <w:pPr>
        <w:pStyle w:val="29"/>
        <w:numPr>
          <w:ilvl w:val="0"/>
          <w:numId w:val="6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《改进措施通知单》</w:t>
      </w:r>
    </w:p>
    <w:p w14:paraId="44BC433D">
      <w:pPr>
        <w:pStyle w:val="29"/>
        <w:numPr>
          <w:ilvl w:val="0"/>
          <w:numId w:val="6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《纠正与预防措施报告》</w:t>
      </w:r>
    </w:p>
    <w:p w14:paraId="3D9DE181">
      <w:pPr>
        <w:pStyle w:val="29"/>
        <w:numPr>
          <w:ilvl w:val="0"/>
          <w:numId w:val="6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《改进项目立项申请表》</w:t>
      </w:r>
    </w:p>
    <w:p w14:paraId="7A697F29">
      <w:pPr>
        <w:pStyle w:val="29"/>
        <w:numPr>
          <w:ilvl w:val="0"/>
          <w:numId w:val="6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《改进效果评估报告》</w:t>
      </w:r>
    </w:p>
    <w:p w14:paraId="4863664D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5" w:name="_Toc16438"/>
      <w:r>
        <w:rPr>
          <w:rFonts w:hint="eastAsia"/>
          <w:lang w:val="en-US" w:eastAsia="zh-CN"/>
        </w:rPr>
        <w:t>记录</w:t>
      </w:r>
      <w:bookmarkEnd w:id="15"/>
    </w:p>
    <w:p w14:paraId="7F00F25A">
      <w:pPr>
        <w:pStyle w:val="29"/>
        <w:numPr>
          <w:ilvl w:val="0"/>
          <w:numId w:val="7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《改进机会识别记录》</w:t>
      </w:r>
    </w:p>
    <w:p w14:paraId="35713EA6">
      <w:pPr>
        <w:pStyle w:val="29"/>
        <w:numPr>
          <w:ilvl w:val="0"/>
          <w:numId w:val="7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《改进措施实施记录》</w:t>
      </w:r>
    </w:p>
    <w:p w14:paraId="089FA812">
      <w:pPr>
        <w:pStyle w:val="29"/>
        <w:numPr>
          <w:ilvl w:val="0"/>
          <w:numId w:val="7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《改进效果验证记录》</w:t>
      </w:r>
    </w:p>
    <w:p w14:paraId="47B3B767">
      <w:pPr>
        <w:pStyle w:val="29"/>
        <w:numPr>
          <w:ilvl w:val="0"/>
          <w:numId w:val="7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《管理评审改进决议跟踪表》</w:t>
      </w:r>
    </w:p>
    <w:p w14:paraId="05F117FD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所有改进相关记录由质量部统一归档，保存期限不少于3年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619F5D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67310</wp:posOffset>
          </wp:positionH>
          <wp:positionV relativeFrom="paragraph">
            <wp:posOffset>-345440</wp:posOffset>
          </wp:positionV>
          <wp:extent cx="718820" cy="461010"/>
          <wp:effectExtent l="0" t="0" r="12700" b="11430"/>
          <wp:wrapNone/>
          <wp:docPr id="1" name="图片 1" descr="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2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18820" cy="4610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阿克苏智汇人才服务</w:t>
    </w:r>
    <w:r>
      <w:rPr>
        <w:rFonts w:hint="eastAsia" w:eastAsiaTheme="minorEastAsia"/>
        <w:lang w:eastAsia="zh-CN"/>
      </w:rPr>
      <w:t>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A42D411B"/>
    <w:multiLevelType w:val="singleLevel"/>
    <w:tmpl w:val="A42D411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AEBD2D8B"/>
    <w:multiLevelType w:val="singleLevel"/>
    <w:tmpl w:val="AEBD2D8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F8715F16"/>
    <w:multiLevelType w:val="singleLevel"/>
    <w:tmpl w:val="F8715F1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F9539CF3"/>
    <w:multiLevelType w:val="singleLevel"/>
    <w:tmpl w:val="F9539CF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299F21EC"/>
    <w:multiLevelType w:val="singleLevel"/>
    <w:tmpl w:val="299F21E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6A635F1E"/>
    <w:multiLevelType w:val="singleLevel"/>
    <w:tmpl w:val="6A635F1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6"/>
  </w:num>
  <w:num w:numId="3">
    <w:abstractNumId w:val="1"/>
  </w:num>
  <w:num w:numId="4">
    <w:abstractNumId w:val="3"/>
  </w:num>
  <w:num w:numId="5">
    <w:abstractNumId w:val="4"/>
  </w:num>
  <w:num w:numId="6">
    <w:abstractNumId w:val="5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55574E"/>
    <w:rsid w:val="0104303E"/>
    <w:rsid w:val="01E07299"/>
    <w:rsid w:val="0211124F"/>
    <w:rsid w:val="0261487E"/>
    <w:rsid w:val="029C58B6"/>
    <w:rsid w:val="02CE3596"/>
    <w:rsid w:val="02EA4873"/>
    <w:rsid w:val="040604A9"/>
    <w:rsid w:val="05980692"/>
    <w:rsid w:val="073D05DE"/>
    <w:rsid w:val="07660A33"/>
    <w:rsid w:val="080D4B60"/>
    <w:rsid w:val="09975029"/>
    <w:rsid w:val="09D65B51"/>
    <w:rsid w:val="09F2400E"/>
    <w:rsid w:val="09FC6C3A"/>
    <w:rsid w:val="0CF12BAD"/>
    <w:rsid w:val="0D7E191F"/>
    <w:rsid w:val="0F4F57A4"/>
    <w:rsid w:val="0FD115EF"/>
    <w:rsid w:val="127C6B6A"/>
    <w:rsid w:val="130628D8"/>
    <w:rsid w:val="131B2827"/>
    <w:rsid w:val="139879D4"/>
    <w:rsid w:val="13D604FC"/>
    <w:rsid w:val="13F143B8"/>
    <w:rsid w:val="146D2C0E"/>
    <w:rsid w:val="14B42767"/>
    <w:rsid w:val="15CC7E09"/>
    <w:rsid w:val="15EC2259"/>
    <w:rsid w:val="16B0772A"/>
    <w:rsid w:val="170D06D9"/>
    <w:rsid w:val="17103D25"/>
    <w:rsid w:val="17710C68"/>
    <w:rsid w:val="17BE19D3"/>
    <w:rsid w:val="17DF25E3"/>
    <w:rsid w:val="18846779"/>
    <w:rsid w:val="18F465E3"/>
    <w:rsid w:val="19E020D4"/>
    <w:rsid w:val="1A9923D9"/>
    <w:rsid w:val="1BC709D8"/>
    <w:rsid w:val="1C1D13BE"/>
    <w:rsid w:val="1C725A9B"/>
    <w:rsid w:val="1D997E65"/>
    <w:rsid w:val="1E692834"/>
    <w:rsid w:val="1EFD1033"/>
    <w:rsid w:val="1FCB1131"/>
    <w:rsid w:val="20D91840"/>
    <w:rsid w:val="215C6FE4"/>
    <w:rsid w:val="23A26E72"/>
    <w:rsid w:val="23DD436C"/>
    <w:rsid w:val="23FD59BD"/>
    <w:rsid w:val="26C427F2"/>
    <w:rsid w:val="2908648D"/>
    <w:rsid w:val="294F2DD3"/>
    <w:rsid w:val="2975663E"/>
    <w:rsid w:val="2A8B6C6D"/>
    <w:rsid w:val="2B612949"/>
    <w:rsid w:val="2BF11F1F"/>
    <w:rsid w:val="2C70193F"/>
    <w:rsid w:val="2E500F2E"/>
    <w:rsid w:val="2F041F69"/>
    <w:rsid w:val="2FC11C09"/>
    <w:rsid w:val="32052280"/>
    <w:rsid w:val="330F27D5"/>
    <w:rsid w:val="333746BC"/>
    <w:rsid w:val="339E473B"/>
    <w:rsid w:val="344B59E6"/>
    <w:rsid w:val="346C0F8D"/>
    <w:rsid w:val="350D601C"/>
    <w:rsid w:val="35DE67BA"/>
    <w:rsid w:val="36883480"/>
    <w:rsid w:val="36914A2B"/>
    <w:rsid w:val="3699743B"/>
    <w:rsid w:val="375F2433"/>
    <w:rsid w:val="37971BCD"/>
    <w:rsid w:val="37DF17C6"/>
    <w:rsid w:val="37E666B0"/>
    <w:rsid w:val="3914549F"/>
    <w:rsid w:val="3B742225"/>
    <w:rsid w:val="3C265C15"/>
    <w:rsid w:val="3D324146"/>
    <w:rsid w:val="3D5F4115"/>
    <w:rsid w:val="3E287A22"/>
    <w:rsid w:val="3E5A3954"/>
    <w:rsid w:val="3F2D2E17"/>
    <w:rsid w:val="40646D0C"/>
    <w:rsid w:val="40873B7A"/>
    <w:rsid w:val="40B11D0C"/>
    <w:rsid w:val="41DA54D8"/>
    <w:rsid w:val="422F3D3C"/>
    <w:rsid w:val="426164FC"/>
    <w:rsid w:val="43223C0F"/>
    <w:rsid w:val="4368266F"/>
    <w:rsid w:val="43947908"/>
    <w:rsid w:val="43996CCD"/>
    <w:rsid w:val="45EE5265"/>
    <w:rsid w:val="46BF2EEE"/>
    <w:rsid w:val="472B0583"/>
    <w:rsid w:val="47BB1907"/>
    <w:rsid w:val="484F2050"/>
    <w:rsid w:val="48FA020D"/>
    <w:rsid w:val="49B33C44"/>
    <w:rsid w:val="49CC1B61"/>
    <w:rsid w:val="4BFB76A0"/>
    <w:rsid w:val="4D1711C1"/>
    <w:rsid w:val="4E0B149B"/>
    <w:rsid w:val="4EA12ED9"/>
    <w:rsid w:val="4F6F1974"/>
    <w:rsid w:val="503F29AA"/>
    <w:rsid w:val="50BE0A71"/>
    <w:rsid w:val="511C5981"/>
    <w:rsid w:val="51F0261E"/>
    <w:rsid w:val="52132340"/>
    <w:rsid w:val="52692C1D"/>
    <w:rsid w:val="5486504B"/>
    <w:rsid w:val="54CB7E3C"/>
    <w:rsid w:val="5632548A"/>
    <w:rsid w:val="56D26326"/>
    <w:rsid w:val="58675193"/>
    <w:rsid w:val="5A6610C0"/>
    <w:rsid w:val="5B0B0058"/>
    <w:rsid w:val="5B85605C"/>
    <w:rsid w:val="5D0D6A04"/>
    <w:rsid w:val="5D2E6280"/>
    <w:rsid w:val="5D6677C8"/>
    <w:rsid w:val="5E6A32E8"/>
    <w:rsid w:val="5EF847CD"/>
    <w:rsid w:val="5EFB71CC"/>
    <w:rsid w:val="5F7F1015"/>
    <w:rsid w:val="613E7799"/>
    <w:rsid w:val="6200643D"/>
    <w:rsid w:val="62312EF8"/>
    <w:rsid w:val="62D11B87"/>
    <w:rsid w:val="640721AA"/>
    <w:rsid w:val="652201F2"/>
    <w:rsid w:val="652A5B5F"/>
    <w:rsid w:val="657F3B1C"/>
    <w:rsid w:val="659C092C"/>
    <w:rsid w:val="65C43C25"/>
    <w:rsid w:val="670C7CC2"/>
    <w:rsid w:val="678C0773"/>
    <w:rsid w:val="68804644"/>
    <w:rsid w:val="698F3ABF"/>
    <w:rsid w:val="69C45AEB"/>
    <w:rsid w:val="69F857FC"/>
    <w:rsid w:val="6A707ED8"/>
    <w:rsid w:val="6BAD2A66"/>
    <w:rsid w:val="6BF30DC0"/>
    <w:rsid w:val="6CD644A8"/>
    <w:rsid w:val="6D834437"/>
    <w:rsid w:val="6DB46CBB"/>
    <w:rsid w:val="6E201C15"/>
    <w:rsid w:val="6E6623CD"/>
    <w:rsid w:val="6F887A72"/>
    <w:rsid w:val="711772FF"/>
    <w:rsid w:val="713003C1"/>
    <w:rsid w:val="7141437C"/>
    <w:rsid w:val="7169742F"/>
    <w:rsid w:val="73593BFF"/>
    <w:rsid w:val="73644352"/>
    <w:rsid w:val="73C7661F"/>
    <w:rsid w:val="76960176"/>
    <w:rsid w:val="76F6721A"/>
    <w:rsid w:val="776C1A27"/>
    <w:rsid w:val="783E1615"/>
    <w:rsid w:val="78CA2EA9"/>
    <w:rsid w:val="78D1021F"/>
    <w:rsid w:val="79711576"/>
    <w:rsid w:val="7A1940E8"/>
    <w:rsid w:val="7A2F7467"/>
    <w:rsid w:val="7B3757DD"/>
    <w:rsid w:val="7B4E6013"/>
    <w:rsid w:val="7B5C70B9"/>
    <w:rsid w:val="7C066719"/>
    <w:rsid w:val="7C434C07"/>
    <w:rsid w:val="7D0C7F34"/>
    <w:rsid w:val="7DA168CE"/>
    <w:rsid w:val="7DF905A7"/>
    <w:rsid w:val="7E086FD3"/>
    <w:rsid w:val="7EC9775F"/>
    <w:rsid w:val="7F8244DD"/>
    <w:rsid w:val="7F9B10FB"/>
    <w:rsid w:val="7FE77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231</Words>
  <Characters>305</Characters>
  <Lines>0</Lines>
  <Paragraphs>0</Paragraphs>
  <TotalTime>4</TotalTime>
  <ScaleCrop>false</ScaleCrop>
  <LinksUpToDate>false</LinksUpToDate>
  <CharactersWithSpaces>355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2025-10-23T10:34:59Z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2052-12.1.0.23125</vt:lpwstr>
  </property>
  <property fmtid="{D5CDD505-2E9C-101B-9397-08002B2CF9AE}" pid="4" name="KSOTemplateDocerSaveRecord">
    <vt:lpwstr>eyJoZGlkIjoiMDY5NmFjMmM4ZTljMGJiZDAxN2JmYTc0NGI0NmFiNDgiLCJ1c2VySWQiOiIxMDc1MzgyOSJ9</vt:lpwstr>
  </property>
</Properties>
</file>