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A6FA79">
      <w:pPr>
        <w:pStyle w:val="24"/>
        <w:keepNext w:val="0"/>
        <w:keepLines w:val="0"/>
        <w:pageBreakBefore w:val="0"/>
        <w:widowControl w:val="0"/>
        <w:kinsoku w:val="0"/>
        <w:wordWrap/>
        <w:overflowPunct/>
        <w:topLinePunct w:val="0"/>
        <w:autoSpaceDE w:val="0"/>
        <w:autoSpaceDN w:val="0"/>
        <w:bidi w:val="0"/>
        <w:adjustRightInd w:val="0"/>
        <w:snapToGrid w:val="0"/>
        <w:spacing w:before="3121" w:beforeLines="1000"/>
        <w:textAlignment w:val="baseline"/>
      </w:pPr>
      <w:bookmarkStart w:id="0" w:name="_Toc260"/>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7">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阿克苏智汇人才服务有限</w:t>
      </w:r>
      <w:r>
        <w:t>公司</w:t>
      </w:r>
      <w:bookmarkEnd w:id="0"/>
    </w:p>
    <w:p w14:paraId="1CA859AD">
      <w:pPr>
        <w:pStyle w:val="25"/>
        <w:keepNext w:val="0"/>
        <w:keepLines w:val="0"/>
        <w:pageBreakBefore w:val="0"/>
        <w:widowControl w:val="0"/>
        <w:kinsoku w:val="0"/>
        <w:wordWrap/>
        <w:overflowPunct/>
        <w:topLinePunct w:val="0"/>
        <w:autoSpaceDE w:val="0"/>
        <w:autoSpaceDN w:val="0"/>
        <w:bidi w:val="0"/>
        <w:adjustRightInd w:val="0"/>
        <w:snapToGrid w:val="0"/>
        <w:spacing w:before="0" w:after="625" w:afterLines="200"/>
        <w:textAlignment w:val="baseline"/>
        <w:rPr>
          <w:rFonts w:hint="eastAsia"/>
          <w:lang w:val="en-US" w:eastAsia="zh-CN"/>
        </w:rPr>
      </w:pPr>
      <w:bookmarkStart w:id="1" w:name="_Toc27520"/>
      <w:r>
        <w:rPr>
          <w:rFonts w:hint="eastAsia"/>
          <w:lang w:val="en-US" w:eastAsia="zh-CN"/>
        </w:rPr>
        <w:t>运维服务内审管理制度</w:t>
      </w:r>
      <w:bookmarkEnd w:id="1"/>
    </w:p>
    <w:p w14:paraId="5C99E7F3">
      <w:pPr>
        <w:keepNext w:val="0"/>
        <w:keepLines w:val="0"/>
        <w:pageBreakBefore w:val="0"/>
        <w:widowControl w:val="0"/>
        <w:kinsoku w:val="0"/>
        <w:wordWrap/>
        <w:overflowPunct/>
        <w:topLinePunct w:val="0"/>
        <w:autoSpaceDE w:val="0"/>
        <w:autoSpaceDN w:val="0"/>
        <w:bidi w:val="0"/>
        <w:adjustRightInd w:val="0"/>
        <w:snapToGrid w:val="0"/>
        <w:spacing w:after="625"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ZHRC</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bookmarkStart w:id="16" w:name="_GoBack"/>
      <w:bookmarkEnd w:id="16"/>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2161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7F44E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527A687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5E046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740D4D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fitText w:val="840" w:id="1984234543"/>
                <w:vertAlign w:val="baseline"/>
                <w:lang w:val="en-US" w:eastAsia="zh-CN"/>
              </w:rPr>
              <w:t>版</w:t>
            </w:r>
            <w:r>
              <w:rPr>
                <w:rFonts w:hint="eastAsia"/>
                <w:spacing w:val="0"/>
                <w:kern w:val="0"/>
                <w:fitText w:val="840" w:id="1984234543"/>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fitText w:val="630" w:id="1331981115"/>
                <w:vertAlign w:val="baseline"/>
                <w:lang w:val="en-US" w:eastAsia="zh-CN"/>
              </w:rPr>
              <w:t>V1.</w:t>
            </w:r>
            <w:r>
              <w:rPr>
                <w:rFonts w:hint="eastAsia"/>
                <w:spacing w:val="0"/>
                <w:kern w:val="0"/>
                <w:u w:val="single"/>
                <w:fitText w:val="630" w:id="1331981115"/>
                <w:vertAlign w:val="baseline"/>
                <w:lang w:val="en-US" w:eastAsia="zh-CN"/>
              </w:rPr>
              <w:t>0</w:t>
            </w:r>
          </w:p>
        </w:tc>
        <w:tc>
          <w:tcPr>
            <w:tcW w:w="2708" w:type="dxa"/>
            <w:shd w:val="clear" w:color="auto" w:fill="auto"/>
          </w:tcPr>
          <w:p w14:paraId="36398C7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r w14:paraId="4012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A92757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fitText w:val="840" w:id="722747876"/>
                <w:vertAlign w:val="baseline"/>
                <w:lang w:val="en-US" w:eastAsia="zh-CN"/>
              </w:rPr>
              <w:t>批准</w:t>
            </w:r>
            <w:r>
              <w:rPr>
                <w:rFonts w:hint="eastAsia"/>
                <w:spacing w:val="1"/>
                <w:kern w:val="0"/>
                <w:fitText w:val="840" w:id="722747876"/>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105"/>
                <w:kern w:val="0"/>
                <w:sz w:val="21"/>
                <w:u w:val="single"/>
                <w:fitText w:val="630" w:id="676873217"/>
                <w:vertAlign w:val="baseline"/>
                <w:lang w:val="en-US" w:eastAsia="zh-CN"/>
              </w:rPr>
              <w:t>任</w:t>
            </w:r>
            <w:r>
              <w:rPr>
                <w:rFonts w:hint="eastAsia" w:asciiTheme="minorAscii" w:hAnsiTheme="minorAscii" w:eastAsiaTheme="minorEastAsia"/>
                <w:spacing w:val="0"/>
                <w:kern w:val="0"/>
                <w:sz w:val="21"/>
                <w:u w:val="single"/>
                <w:fitText w:val="630" w:id="676873217"/>
                <w:vertAlign w:val="baseline"/>
                <w:lang w:val="en-US" w:eastAsia="zh-CN"/>
              </w:rPr>
              <w:t>鸿</w:t>
            </w:r>
          </w:p>
        </w:tc>
        <w:tc>
          <w:tcPr>
            <w:tcW w:w="2708" w:type="dxa"/>
          </w:tcPr>
          <w:p w14:paraId="370F750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2025.04.10</w:t>
            </w:r>
          </w:p>
        </w:tc>
      </w:tr>
    </w:tbl>
    <w:p w14:paraId="1DEAC454">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61535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544A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4FB3B2C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78067E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1CA80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C6967C0">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31C0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EE12D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4</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10AEB2A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292F328">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3AD957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105"/>
                <w:kern w:val="0"/>
                <w:sz w:val="21"/>
                <w:fitText w:val="630" w:id="676873217"/>
                <w:vertAlign w:val="baseline"/>
                <w:lang w:val="en-US" w:eastAsia="zh-CN"/>
              </w:rPr>
              <w:t>任</w:t>
            </w:r>
            <w:r>
              <w:rPr>
                <w:rFonts w:hint="eastAsia" w:asciiTheme="minorAscii" w:hAnsiTheme="minorAscii" w:eastAsiaTheme="minorEastAsia"/>
                <w:spacing w:val="0"/>
                <w:kern w:val="0"/>
                <w:sz w:val="21"/>
                <w:fitText w:val="630" w:id="676873217"/>
                <w:vertAlign w:val="baseline"/>
                <w:lang w:val="en-US" w:eastAsia="zh-CN"/>
              </w:rPr>
              <w:t>鸿</w:t>
            </w:r>
          </w:p>
        </w:tc>
      </w:tr>
      <w:tr w14:paraId="6E209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5F4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146625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2B88D5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F1492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5B855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3A8447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8C703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970AE5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C73CE0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F7C35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750A30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7969F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4D59C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67762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8E27D4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6A6F98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ABEBB57">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_Toc260 </w:instrText>
          </w:r>
          <w:r>
            <w:rPr>
              <w:rFonts w:hint="eastAsia" w:ascii="宋体" w:hAnsi="宋体" w:eastAsia="宋体" w:cs="宋体"/>
              <w:szCs w:val="24"/>
            </w:rPr>
            <w:fldChar w:fldCharType="separate"/>
          </w:r>
          <w:r>
            <w:rPr>
              <w:rFonts w:hint="eastAsia"/>
              <w:lang w:val="en-US" w:eastAsia="zh-CN"/>
            </w:rPr>
            <w:t>阿克苏智汇人才服务有限</w:t>
          </w:r>
          <w:r>
            <w:t>公司</w:t>
          </w:r>
          <w:r>
            <w:tab/>
          </w:r>
          <w:r>
            <w:fldChar w:fldCharType="begin"/>
          </w:r>
          <w:r>
            <w:instrText xml:space="preserve"> PAGEREF _Toc260 \h </w:instrText>
          </w:r>
          <w:r>
            <w:fldChar w:fldCharType="separate"/>
          </w:r>
          <w:r>
            <w:t>1</w:t>
          </w:r>
          <w:r>
            <w:fldChar w:fldCharType="end"/>
          </w:r>
          <w:r>
            <w:rPr>
              <w:rFonts w:hint="eastAsia" w:ascii="宋体" w:hAnsi="宋体" w:eastAsia="宋体" w:cs="宋体"/>
              <w:szCs w:val="24"/>
            </w:rPr>
            <w:fldChar w:fldCharType="end"/>
          </w:r>
        </w:p>
        <w:p w14:paraId="4CE182B2">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_Toc27520 </w:instrText>
          </w:r>
          <w:r>
            <w:rPr>
              <w:rFonts w:hint="eastAsia" w:ascii="宋体" w:hAnsi="宋体" w:eastAsia="宋体" w:cs="宋体"/>
              <w:szCs w:val="24"/>
            </w:rPr>
            <w:fldChar w:fldCharType="separate"/>
          </w:r>
          <w:r>
            <w:rPr>
              <w:rFonts w:hint="eastAsia"/>
              <w:lang w:val="en-US" w:eastAsia="zh-CN"/>
            </w:rPr>
            <w:t>人员工作交接管理制度</w:t>
          </w:r>
          <w:r>
            <w:tab/>
          </w:r>
          <w:r>
            <w:fldChar w:fldCharType="begin"/>
          </w:r>
          <w:r>
            <w:instrText xml:space="preserve"> PAGEREF _Toc27520 \h </w:instrText>
          </w:r>
          <w:r>
            <w:fldChar w:fldCharType="separate"/>
          </w:r>
          <w:r>
            <w:t>1</w:t>
          </w:r>
          <w:r>
            <w:fldChar w:fldCharType="end"/>
          </w:r>
          <w:r>
            <w:rPr>
              <w:rFonts w:hint="eastAsia" w:ascii="宋体" w:hAnsi="宋体" w:eastAsia="宋体" w:cs="宋体"/>
              <w:szCs w:val="24"/>
            </w:rPr>
            <w:fldChar w:fldCharType="end"/>
          </w:r>
        </w:p>
        <w:p w14:paraId="782C915D">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_Toc1824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_Toc1824 \h </w:instrText>
          </w:r>
          <w:r>
            <w:fldChar w:fldCharType="separate"/>
          </w:r>
          <w:r>
            <w:t>4</w:t>
          </w:r>
          <w:r>
            <w:fldChar w:fldCharType="end"/>
          </w:r>
          <w:r>
            <w:rPr>
              <w:rFonts w:hint="eastAsia" w:ascii="宋体" w:hAnsi="宋体" w:eastAsia="宋体" w:cs="宋体"/>
              <w:szCs w:val="24"/>
            </w:rPr>
            <w:fldChar w:fldCharType="end"/>
          </w:r>
        </w:p>
        <w:p w14:paraId="379FBFB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_Toc13369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_Toc13369 \h </w:instrText>
          </w:r>
          <w:r>
            <w:fldChar w:fldCharType="separate"/>
          </w:r>
          <w:r>
            <w:t>4</w:t>
          </w:r>
          <w:r>
            <w:fldChar w:fldCharType="end"/>
          </w:r>
          <w:r>
            <w:rPr>
              <w:rFonts w:hint="eastAsia" w:ascii="宋体" w:hAnsi="宋体" w:eastAsia="宋体" w:cs="宋体"/>
              <w:szCs w:val="24"/>
            </w:rPr>
            <w:fldChar w:fldCharType="end"/>
          </w:r>
        </w:p>
        <w:p w14:paraId="03BA5005">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_Toc14707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_Toc14707 \h </w:instrText>
          </w:r>
          <w:r>
            <w:fldChar w:fldCharType="separate"/>
          </w:r>
          <w:r>
            <w:t>4</w:t>
          </w:r>
          <w:r>
            <w:fldChar w:fldCharType="end"/>
          </w:r>
          <w:r>
            <w:rPr>
              <w:rFonts w:hint="eastAsia" w:ascii="宋体" w:hAnsi="宋体" w:eastAsia="宋体" w:cs="宋体"/>
              <w:szCs w:val="24"/>
            </w:rPr>
            <w:fldChar w:fldCharType="end"/>
          </w:r>
        </w:p>
        <w:p w14:paraId="22E4BBA8">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_Toc7905 \h </w:instrText>
          </w:r>
          <w:r>
            <w:fldChar w:fldCharType="separate"/>
          </w:r>
          <w:r>
            <w:t>4</w:t>
          </w:r>
          <w:r>
            <w:fldChar w:fldCharType="end"/>
          </w:r>
          <w:r>
            <w:rPr>
              <w:rFonts w:hint="eastAsia" w:ascii="宋体" w:hAnsi="宋体" w:eastAsia="宋体" w:cs="宋体"/>
              <w:szCs w:val="24"/>
            </w:rPr>
            <w:fldChar w:fldCharType="end"/>
          </w:r>
        </w:p>
        <w:p w14:paraId="262DE691">
          <w:pPr>
            <w:pStyle w:val="17"/>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_Toc32565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_Toc32565 \h </w:instrText>
          </w:r>
          <w:r>
            <w:fldChar w:fldCharType="separate"/>
          </w:r>
          <w:r>
            <w:t>4</w:t>
          </w:r>
          <w:r>
            <w:fldChar w:fldCharType="end"/>
          </w:r>
          <w:r>
            <w:rPr>
              <w:rFonts w:hint="eastAsia" w:ascii="宋体" w:hAnsi="宋体" w:eastAsia="宋体" w:cs="宋体"/>
              <w:szCs w:val="24"/>
            </w:rPr>
            <w:fldChar w:fldCharType="end"/>
          </w:r>
        </w:p>
        <w:p w14:paraId="587E0AE4">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_Toc7310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_Toc7310 \h </w:instrText>
          </w:r>
          <w:r>
            <w:fldChar w:fldCharType="separate"/>
          </w:r>
          <w:r>
            <w:t>4</w:t>
          </w:r>
          <w:r>
            <w:fldChar w:fldCharType="end"/>
          </w:r>
          <w:r>
            <w:rPr>
              <w:rFonts w:hint="eastAsia" w:ascii="宋体" w:hAnsi="宋体" w:eastAsia="宋体" w:cs="宋体"/>
              <w:szCs w:val="24"/>
            </w:rPr>
            <w:fldChar w:fldCharType="end"/>
          </w:r>
        </w:p>
        <w:p w14:paraId="4ADE403E">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_Toc30963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_Toc30963 \h </w:instrText>
          </w:r>
          <w:r>
            <w:fldChar w:fldCharType="separate"/>
          </w:r>
          <w:r>
            <w:t>4</w:t>
          </w:r>
          <w:r>
            <w:fldChar w:fldCharType="end"/>
          </w:r>
          <w:r>
            <w:rPr>
              <w:rFonts w:hint="eastAsia" w:ascii="宋体" w:hAnsi="宋体" w:eastAsia="宋体" w:cs="宋体"/>
              <w:szCs w:val="24"/>
            </w:rPr>
            <w:fldChar w:fldCharType="end"/>
          </w:r>
        </w:p>
        <w:p w14:paraId="406B10D3">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_Toc14370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_Toc14370 \h </w:instrText>
          </w:r>
          <w:r>
            <w:fldChar w:fldCharType="separate"/>
          </w:r>
          <w:r>
            <w:t>4</w:t>
          </w:r>
          <w:r>
            <w:fldChar w:fldCharType="end"/>
          </w:r>
          <w:r>
            <w:rPr>
              <w:rFonts w:hint="eastAsia" w:ascii="宋体" w:hAnsi="宋体" w:eastAsia="宋体" w:cs="宋体"/>
              <w:szCs w:val="24"/>
            </w:rPr>
            <w:fldChar w:fldCharType="end"/>
          </w:r>
        </w:p>
        <w:p w14:paraId="6559700C">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_Toc26732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_Toc26732 \h </w:instrText>
          </w:r>
          <w:r>
            <w:fldChar w:fldCharType="separate"/>
          </w:r>
          <w:r>
            <w:t>4</w:t>
          </w:r>
          <w:r>
            <w:fldChar w:fldCharType="end"/>
          </w:r>
          <w:r>
            <w:rPr>
              <w:rFonts w:hint="eastAsia" w:ascii="宋体" w:hAnsi="宋体" w:eastAsia="宋体" w:cs="宋体"/>
              <w:szCs w:val="24"/>
            </w:rPr>
            <w:fldChar w:fldCharType="end"/>
          </w:r>
        </w:p>
        <w:p w14:paraId="78EBAF05">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_Toc3387 \h </w:instrText>
          </w:r>
          <w:r>
            <w:fldChar w:fldCharType="separate"/>
          </w:r>
          <w:r>
            <w:t>4</w:t>
          </w:r>
          <w:r>
            <w:fldChar w:fldCharType="end"/>
          </w:r>
          <w:r>
            <w:rPr>
              <w:rFonts w:hint="eastAsia" w:ascii="宋体" w:hAnsi="宋体" w:eastAsia="宋体" w:cs="宋体"/>
              <w:szCs w:val="24"/>
            </w:rPr>
            <w:fldChar w:fldCharType="end"/>
          </w:r>
        </w:p>
        <w:p w14:paraId="6AD5517B">
          <w:pPr>
            <w:pStyle w:val="16"/>
            <w:keepNext w:val="0"/>
            <w:keepLines w:val="0"/>
            <w:pageBreakBefore w:val="0"/>
            <w:widowControl w:val="0"/>
            <w:tabs>
              <w:tab w:val="right" w:leader="dot" w:pos="8306"/>
            </w:tabs>
            <w:kinsoku w:val="0"/>
            <w:wordWrap/>
            <w:overflowPunct/>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_Toc16438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_Toc16438 \h </w:instrText>
          </w:r>
          <w:r>
            <w:fldChar w:fldCharType="separate"/>
          </w:r>
          <w:r>
            <w:t>4</w:t>
          </w:r>
          <w:r>
            <w:fldChar w:fldCharType="end"/>
          </w:r>
          <w:r>
            <w:rPr>
              <w:rFonts w:hint="eastAsia" w:ascii="宋体" w:hAnsi="宋体" w:eastAsia="宋体" w:cs="宋体"/>
              <w:szCs w:val="24"/>
            </w:rPr>
            <w:fldChar w:fldCharType="end"/>
          </w:r>
        </w:p>
        <w:p w14:paraId="05460C6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2DD7F8">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6869B1E">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1824"/>
      <w:r>
        <w:rPr>
          <w:rFonts w:hint="eastAsia"/>
          <w:lang w:val="en-US" w:eastAsia="zh-CN"/>
        </w:rPr>
        <w:t>总则</w:t>
      </w:r>
      <w:bookmarkEnd w:id="2"/>
    </w:p>
    <w:p w14:paraId="151B219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3369"/>
      <w:r>
        <w:rPr>
          <w:rFonts w:hint="eastAsia"/>
          <w:lang w:val="en-US" w:eastAsia="zh-CN"/>
        </w:rPr>
        <w:t>目的</w:t>
      </w:r>
      <w:bookmarkEnd w:id="3"/>
    </w:p>
    <w:p w14:paraId="5567BD56">
      <w:pPr>
        <w:pStyle w:val="29"/>
        <w:rPr>
          <w:rFonts w:hint="eastAsia"/>
          <w:lang w:val="en-US" w:eastAsia="zh-CN"/>
        </w:rPr>
      </w:pPr>
      <w:r>
        <w:rPr>
          <w:rFonts w:hint="eastAsia"/>
          <w:lang w:val="en-US" w:eastAsia="zh-CN"/>
        </w:rPr>
        <w:t>为规范公司运维服务管理体系的内部审核工作，系统评价运维服务活动对ITSS标准的符合性和有效性，及时发现体系运行中存在的问题，推动持续改进，确保管理体系持续有效运行，特制定本制度。</w:t>
      </w:r>
    </w:p>
    <w:p w14:paraId="74FEE6B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4707"/>
      <w:r>
        <w:rPr>
          <w:rFonts w:hint="eastAsia"/>
          <w:lang w:val="en-US" w:eastAsia="zh-CN"/>
        </w:rPr>
        <w:t>适用范围</w:t>
      </w:r>
      <w:bookmarkEnd w:id="4"/>
    </w:p>
    <w:p w14:paraId="521A7E06">
      <w:pPr>
        <w:pStyle w:val="29"/>
        <w:rPr>
          <w:rFonts w:hint="eastAsia"/>
          <w:lang w:val="en-US" w:eastAsia="zh-CN"/>
        </w:rPr>
      </w:pPr>
      <w:r>
        <w:rPr>
          <w:rFonts w:hint="eastAsia"/>
          <w:lang w:val="en-US" w:eastAsia="zh-CN"/>
        </w:rPr>
        <w:t>本制度适用于阿克苏智汇人才服务有限公司运维服务管理体系覆盖的所有部门及服务全过程的内审活动。</w:t>
      </w:r>
    </w:p>
    <w:p w14:paraId="1D3A738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905"/>
      <w:r>
        <w:rPr>
          <w:rFonts w:hint="eastAsia"/>
          <w:lang w:val="en-US" w:eastAsia="zh-CN"/>
        </w:rPr>
        <w:t>原则</w:t>
      </w:r>
      <w:bookmarkEnd w:id="5"/>
    </w:p>
    <w:p w14:paraId="3AC0E2AD">
      <w:pPr>
        <w:pStyle w:val="29"/>
        <w:numPr>
          <w:ilvl w:val="0"/>
          <w:numId w:val="2"/>
        </w:numPr>
        <w:ind w:left="425" w:leftChars="0" w:hanging="425" w:firstLineChars="0"/>
        <w:rPr>
          <w:rFonts w:hint="eastAsia"/>
          <w:lang w:val="en-US" w:eastAsia="zh-CN"/>
        </w:rPr>
      </w:pPr>
      <w:r>
        <w:rPr>
          <w:rFonts w:hint="eastAsia"/>
          <w:lang w:val="en-US" w:eastAsia="zh-CN"/>
        </w:rPr>
        <w:t>客观公正：基于客观证据，公正开展审核活动</w:t>
      </w:r>
    </w:p>
    <w:p w14:paraId="47D0642F">
      <w:pPr>
        <w:pStyle w:val="29"/>
        <w:numPr>
          <w:ilvl w:val="0"/>
          <w:numId w:val="2"/>
        </w:numPr>
        <w:ind w:left="425" w:leftChars="0" w:hanging="425" w:firstLineChars="0"/>
        <w:rPr>
          <w:rFonts w:hint="eastAsia"/>
          <w:lang w:val="en-US" w:eastAsia="zh-CN"/>
        </w:rPr>
      </w:pPr>
      <w:r>
        <w:rPr>
          <w:rFonts w:hint="eastAsia"/>
          <w:lang w:val="en-US" w:eastAsia="zh-CN"/>
        </w:rPr>
        <w:t>系统规范：遵循系统方法，规范执行审核程序</w:t>
      </w:r>
    </w:p>
    <w:p w14:paraId="7467E956">
      <w:pPr>
        <w:pStyle w:val="29"/>
        <w:numPr>
          <w:ilvl w:val="0"/>
          <w:numId w:val="2"/>
        </w:numPr>
        <w:ind w:left="425" w:leftChars="0" w:hanging="425" w:firstLineChars="0"/>
        <w:rPr>
          <w:rFonts w:hint="eastAsia"/>
          <w:lang w:val="en-US" w:eastAsia="zh-CN"/>
        </w:rPr>
      </w:pPr>
      <w:r>
        <w:rPr>
          <w:rFonts w:hint="eastAsia"/>
          <w:lang w:val="en-US" w:eastAsia="zh-CN"/>
        </w:rPr>
        <w:t>持续改进：注重问题改进，推动体系持续完善</w:t>
      </w:r>
    </w:p>
    <w:p w14:paraId="0F3A266D">
      <w:pPr>
        <w:pStyle w:val="29"/>
        <w:numPr>
          <w:ilvl w:val="0"/>
          <w:numId w:val="2"/>
        </w:numPr>
        <w:ind w:left="425" w:leftChars="0" w:hanging="425" w:firstLineChars="0"/>
        <w:rPr>
          <w:rFonts w:hint="eastAsia"/>
          <w:lang w:val="en-US" w:eastAsia="zh-CN"/>
        </w:rPr>
      </w:pPr>
      <w:r>
        <w:rPr>
          <w:rFonts w:hint="eastAsia"/>
          <w:lang w:val="en-US" w:eastAsia="zh-CN"/>
        </w:rPr>
        <w:t>专业胜任：确保审核人员具备相应资质和能力</w:t>
      </w:r>
    </w:p>
    <w:p w14:paraId="6FCDC5E8">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2565"/>
      <w:r>
        <w:rPr>
          <w:rFonts w:hint="eastAsia"/>
          <w:lang w:val="en-US" w:eastAsia="zh-CN"/>
        </w:rPr>
        <w:t>岗位职责</w:t>
      </w:r>
      <w:bookmarkEnd w:id="6"/>
    </w:p>
    <w:p w14:paraId="5845A5A8">
      <w:pPr>
        <w:pStyle w:val="31"/>
        <w:bidi w:val="0"/>
        <w:rPr>
          <w:rFonts w:hint="default"/>
          <w:lang w:val="en-US" w:eastAsia="zh-CN"/>
        </w:rPr>
      </w:pPr>
      <w:r>
        <w:rPr>
          <w:rFonts w:hint="default"/>
          <w:lang w:val="en-US" w:eastAsia="zh-CN"/>
        </w:rPr>
        <w:t>管理者代表</w:t>
      </w:r>
    </w:p>
    <w:p w14:paraId="79A1D816">
      <w:pPr>
        <w:pStyle w:val="29"/>
        <w:rPr>
          <w:rFonts w:hint="default"/>
          <w:lang w:val="en-US" w:eastAsia="zh-CN"/>
        </w:rPr>
      </w:pPr>
      <w:r>
        <w:rPr>
          <w:rFonts w:hint="default"/>
          <w:lang w:val="en-US" w:eastAsia="zh-CN"/>
        </w:rPr>
        <w:t>负责内审工作的总体策划和资源保障，任命内审组长</w:t>
      </w:r>
    </w:p>
    <w:p w14:paraId="211B3BB6">
      <w:pPr>
        <w:pStyle w:val="31"/>
        <w:bidi w:val="0"/>
        <w:rPr>
          <w:rFonts w:hint="default"/>
          <w:lang w:val="en-US" w:eastAsia="zh-CN"/>
        </w:rPr>
      </w:pPr>
      <w:r>
        <w:rPr>
          <w:rFonts w:hint="default"/>
          <w:lang w:val="en-US" w:eastAsia="zh-CN"/>
        </w:rPr>
        <w:t>内审组长</w:t>
      </w:r>
    </w:p>
    <w:p w14:paraId="2442D50C">
      <w:pPr>
        <w:pStyle w:val="29"/>
        <w:rPr>
          <w:rFonts w:hint="default"/>
          <w:lang w:val="en-US" w:eastAsia="zh-CN"/>
        </w:rPr>
      </w:pPr>
      <w:r>
        <w:rPr>
          <w:rFonts w:hint="default"/>
          <w:lang w:val="en-US" w:eastAsia="zh-CN"/>
        </w:rPr>
        <w:t>负责具体内审活动的组织与实施，编制审核计划，组织编写审核报告</w:t>
      </w:r>
    </w:p>
    <w:p w14:paraId="08552CD3">
      <w:pPr>
        <w:pStyle w:val="31"/>
        <w:bidi w:val="0"/>
        <w:rPr>
          <w:rFonts w:hint="default"/>
          <w:lang w:val="en-US" w:eastAsia="zh-CN"/>
        </w:rPr>
      </w:pPr>
      <w:r>
        <w:rPr>
          <w:rFonts w:hint="default"/>
          <w:lang w:val="en-US" w:eastAsia="zh-CN"/>
        </w:rPr>
        <w:t>内审员</w:t>
      </w:r>
    </w:p>
    <w:p w14:paraId="39B1F651">
      <w:pPr>
        <w:pStyle w:val="29"/>
        <w:rPr>
          <w:rFonts w:hint="default"/>
          <w:lang w:val="en-US" w:eastAsia="zh-CN"/>
        </w:rPr>
      </w:pPr>
      <w:r>
        <w:rPr>
          <w:rFonts w:hint="default"/>
          <w:lang w:val="en-US" w:eastAsia="zh-CN"/>
        </w:rPr>
        <w:t>按分工实施审核活动，收集审核证据，报告审核发现</w:t>
      </w:r>
    </w:p>
    <w:p w14:paraId="1E68AAE3">
      <w:pPr>
        <w:pStyle w:val="31"/>
        <w:bidi w:val="0"/>
        <w:rPr>
          <w:rFonts w:hint="default"/>
          <w:lang w:val="en-US" w:eastAsia="zh-CN"/>
        </w:rPr>
      </w:pPr>
      <w:r>
        <w:rPr>
          <w:rFonts w:hint="default"/>
          <w:lang w:val="en-US" w:eastAsia="zh-CN"/>
        </w:rPr>
        <w:t>受审部门</w:t>
      </w:r>
    </w:p>
    <w:p w14:paraId="78DBC9BA">
      <w:pPr>
        <w:pStyle w:val="29"/>
        <w:rPr>
          <w:rFonts w:hint="default"/>
          <w:lang w:val="en-US" w:eastAsia="zh-CN"/>
        </w:rPr>
      </w:pPr>
      <w:r>
        <w:rPr>
          <w:rFonts w:hint="default"/>
          <w:lang w:val="en-US" w:eastAsia="zh-CN"/>
        </w:rPr>
        <w:t>配合内审工作，提供所需资源，实施纠正措施</w:t>
      </w:r>
    </w:p>
    <w:p w14:paraId="744EE43F">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7" w:name="_Toc7310"/>
      <w:r>
        <w:rPr>
          <w:rFonts w:hint="eastAsia"/>
          <w:lang w:val="en-US" w:eastAsia="zh-CN"/>
        </w:rPr>
        <w:t>引用依据</w:t>
      </w:r>
      <w:bookmarkEnd w:id="7"/>
    </w:p>
    <w:p w14:paraId="2B966AE1">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609A7067">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26537FE1">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5289D813">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3078E5D4">
      <w:pPr>
        <w:pStyle w:val="28"/>
        <w:keepNext w:val="0"/>
        <w:keepLines w:val="0"/>
        <w:pageBreakBefore w:val="0"/>
        <w:widowControl w:val="0"/>
        <w:kinsoku w:val="0"/>
        <w:wordWrap/>
        <w:overflowPunct/>
        <w:autoSpaceDE w:val="0"/>
        <w:autoSpaceDN w:val="0"/>
        <w:bidi w:val="0"/>
        <w:adjustRightInd w:val="0"/>
        <w:snapToGrid w:val="0"/>
        <w:textAlignment w:val="baseline"/>
      </w:pPr>
      <w:bookmarkStart w:id="8" w:name="_Toc30963"/>
      <w:r>
        <w:rPr>
          <w:rFonts w:hint="eastAsia"/>
          <w:lang w:val="en-US" w:eastAsia="zh-CN"/>
        </w:rPr>
        <w:t>定义与术语</w:t>
      </w:r>
      <w:bookmarkEnd w:id="8"/>
    </w:p>
    <w:p w14:paraId="74D80A7C">
      <w:pPr>
        <w:pStyle w:val="30"/>
        <w:bidi w:val="0"/>
        <w:rPr>
          <w:rFonts w:hint="eastAsia"/>
        </w:rPr>
      </w:pPr>
      <w:r>
        <w:rPr>
          <w:rFonts w:hint="eastAsia"/>
        </w:rPr>
        <w:t>内部审核</w:t>
      </w:r>
    </w:p>
    <w:p w14:paraId="501345ED">
      <w:pPr>
        <w:pStyle w:val="29"/>
        <w:rPr>
          <w:rFonts w:hint="eastAsia"/>
        </w:rPr>
      </w:pPr>
      <w:r>
        <w:rPr>
          <w:rFonts w:hint="eastAsia"/>
        </w:rPr>
        <w:t>为获得审核证据并对其进行客观评价，以确定满足审核准则的程度所进行的系统的、独立的并形成文件的过程</w:t>
      </w:r>
    </w:p>
    <w:p w14:paraId="703FB805">
      <w:pPr>
        <w:pStyle w:val="30"/>
        <w:bidi w:val="0"/>
        <w:rPr>
          <w:rFonts w:hint="eastAsia"/>
        </w:rPr>
      </w:pPr>
      <w:r>
        <w:rPr>
          <w:rFonts w:hint="eastAsia"/>
        </w:rPr>
        <w:t>不符合项</w:t>
      </w:r>
    </w:p>
    <w:p w14:paraId="717CDCDF">
      <w:pPr>
        <w:pStyle w:val="29"/>
        <w:rPr>
          <w:rFonts w:hint="eastAsia"/>
        </w:rPr>
      </w:pPr>
      <w:r>
        <w:rPr>
          <w:rFonts w:hint="eastAsia"/>
        </w:rPr>
        <w:t>未满足规范、标准或体系文件要求的情况</w:t>
      </w:r>
    </w:p>
    <w:p w14:paraId="319C8A19">
      <w:pPr>
        <w:pStyle w:val="30"/>
        <w:bidi w:val="0"/>
        <w:rPr>
          <w:rFonts w:hint="eastAsia"/>
        </w:rPr>
      </w:pPr>
      <w:r>
        <w:rPr>
          <w:rFonts w:hint="eastAsia"/>
        </w:rPr>
        <w:t>观察项</w:t>
      </w:r>
    </w:p>
    <w:p w14:paraId="3FA65DAD">
      <w:pPr>
        <w:pStyle w:val="29"/>
        <w:rPr>
          <w:rFonts w:hint="eastAsia"/>
        </w:rPr>
      </w:pPr>
      <w:r>
        <w:rPr>
          <w:rFonts w:hint="eastAsia"/>
        </w:rPr>
        <w:t>虽未构成不符合，但存在潜在风险或需关注的情况</w:t>
      </w:r>
    </w:p>
    <w:p w14:paraId="14B42B32">
      <w:pPr>
        <w:pStyle w:val="30"/>
        <w:bidi w:val="0"/>
        <w:rPr>
          <w:rFonts w:hint="eastAsia"/>
        </w:rPr>
      </w:pPr>
      <w:r>
        <w:rPr>
          <w:rFonts w:hint="eastAsia"/>
        </w:rPr>
        <w:t>纠正措施</w:t>
      </w:r>
    </w:p>
    <w:p w14:paraId="5CDB73A1">
      <w:pPr>
        <w:pStyle w:val="29"/>
      </w:pPr>
      <w:r>
        <w:rPr>
          <w:rFonts w:hint="eastAsia"/>
        </w:rPr>
        <w:t>为消除已发现的不合格或其他不期望情况的原因所采取的措施</w:t>
      </w:r>
    </w:p>
    <w:p w14:paraId="60EF8C3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14370"/>
      <w:r>
        <w:rPr>
          <w:rFonts w:hint="eastAsia"/>
          <w:lang w:val="en-US" w:eastAsia="zh-CN"/>
        </w:rPr>
        <w:t>管理内容与要求</w:t>
      </w:r>
      <w:bookmarkEnd w:id="9"/>
    </w:p>
    <w:p w14:paraId="063FA988">
      <w:pPr>
        <w:pStyle w:val="30"/>
        <w:bidi w:val="0"/>
        <w:rPr>
          <w:rFonts w:hint="default"/>
          <w:lang w:val="en-US" w:eastAsia="zh-CN"/>
        </w:rPr>
      </w:pPr>
      <w:r>
        <w:rPr>
          <w:rFonts w:hint="default"/>
          <w:lang w:val="en-US" w:eastAsia="zh-CN"/>
        </w:rPr>
        <w:t>内审策划</w:t>
      </w:r>
    </w:p>
    <w:p w14:paraId="1686901E">
      <w:pPr>
        <w:pStyle w:val="31"/>
        <w:bidi w:val="0"/>
        <w:rPr>
          <w:rFonts w:hint="default"/>
          <w:lang w:val="en-US" w:eastAsia="zh-CN"/>
        </w:rPr>
      </w:pPr>
      <w:r>
        <w:rPr>
          <w:rFonts w:hint="default"/>
          <w:lang w:val="en-US" w:eastAsia="zh-CN"/>
        </w:rPr>
        <w:t>内审频次</w:t>
      </w:r>
    </w:p>
    <w:p w14:paraId="56F8C70C">
      <w:pPr>
        <w:pStyle w:val="29"/>
        <w:rPr>
          <w:rFonts w:hint="default"/>
          <w:lang w:val="en-US" w:eastAsia="zh-CN"/>
        </w:rPr>
      </w:pPr>
      <w:r>
        <w:rPr>
          <w:rFonts w:hint="default"/>
          <w:lang w:val="en-US" w:eastAsia="zh-CN"/>
        </w:rPr>
        <w:t>常规内审每年至少进行一次，间隔不超过12个月</w:t>
      </w:r>
    </w:p>
    <w:p w14:paraId="4D195E62">
      <w:pPr>
        <w:pStyle w:val="29"/>
        <w:rPr>
          <w:rFonts w:hint="default"/>
          <w:lang w:val="en-US" w:eastAsia="zh-CN"/>
        </w:rPr>
      </w:pPr>
      <w:r>
        <w:rPr>
          <w:rFonts w:hint="default"/>
          <w:lang w:val="en-US" w:eastAsia="zh-CN"/>
        </w:rPr>
        <w:t>在下列情况下应增加临时内审：</w:t>
      </w:r>
    </w:p>
    <w:p w14:paraId="00023E11">
      <w:pPr>
        <w:pStyle w:val="29"/>
        <w:rPr>
          <w:rFonts w:hint="default"/>
          <w:lang w:val="en-US" w:eastAsia="zh-CN"/>
        </w:rPr>
      </w:pPr>
      <w:r>
        <w:rPr>
          <w:rFonts w:hint="default"/>
          <w:lang w:val="en-US" w:eastAsia="zh-CN"/>
        </w:rPr>
        <w:t>组织机构发生重大调整</w:t>
      </w:r>
    </w:p>
    <w:p w14:paraId="2F326AF1">
      <w:pPr>
        <w:pStyle w:val="29"/>
        <w:rPr>
          <w:rFonts w:hint="default"/>
          <w:lang w:val="en-US" w:eastAsia="zh-CN"/>
        </w:rPr>
      </w:pPr>
      <w:r>
        <w:rPr>
          <w:rFonts w:hint="default"/>
          <w:lang w:val="en-US" w:eastAsia="zh-CN"/>
        </w:rPr>
        <w:t>管理体系发生重大变化</w:t>
      </w:r>
    </w:p>
    <w:p w14:paraId="2807780C">
      <w:pPr>
        <w:pStyle w:val="29"/>
        <w:rPr>
          <w:rFonts w:hint="default"/>
          <w:lang w:val="en-US" w:eastAsia="zh-CN"/>
        </w:rPr>
      </w:pPr>
      <w:r>
        <w:rPr>
          <w:rFonts w:hint="default"/>
          <w:lang w:val="en-US" w:eastAsia="zh-CN"/>
        </w:rPr>
        <w:t>发生重大质量事故或客户重大投诉</w:t>
      </w:r>
    </w:p>
    <w:p w14:paraId="71402C5D">
      <w:pPr>
        <w:pStyle w:val="29"/>
        <w:rPr>
          <w:rFonts w:hint="default"/>
          <w:lang w:val="en-US" w:eastAsia="zh-CN"/>
        </w:rPr>
      </w:pPr>
      <w:r>
        <w:rPr>
          <w:rFonts w:hint="default"/>
          <w:lang w:val="en-US" w:eastAsia="zh-CN"/>
        </w:rPr>
        <w:t>认证审核前</w:t>
      </w:r>
    </w:p>
    <w:p w14:paraId="0F2287CE">
      <w:pPr>
        <w:pStyle w:val="29"/>
        <w:rPr>
          <w:rFonts w:hint="default"/>
          <w:lang w:val="en-US" w:eastAsia="zh-CN"/>
        </w:rPr>
      </w:pPr>
      <w:r>
        <w:rPr>
          <w:rFonts w:hint="default"/>
          <w:lang w:val="en-US" w:eastAsia="zh-CN"/>
        </w:rPr>
        <w:t>业务发生重大变更时</w:t>
      </w:r>
    </w:p>
    <w:p w14:paraId="5A5B09D6">
      <w:pPr>
        <w:pStyle w:val="31"/>
        <w:bidi w:val="0"/>
        <w:rPr>
          <w:rFonts w:hint="default"/>
          <w:lang w:val="en-US" w:eastAsia="zh-CN"/>
        </w:rPr>
      </w:pPr>
      <w:r>
        <w:rPr>
          <w:rFonts w:hint="default"/>
          <w:lang w:val="en-US" w:eastAsia="zh-CN"/>
        </w:rPr>
        <w:t>内审计划</w:t>
      </w:r>
    </w:p>
    <w:p w14:paraId="76FDC8A4">
      <w:pPr>
        <w:pStyle w:val="29"/>
        <w:rPr>
          <w:rFonts w:hint="default"/>
          <w:lang w:val="en-US" w:eastAsia="zh-CN"/>
        </w:rPr>
      </w:pPr>
      <w:r>
        <w:rPr>
          <w:rFonts w:hint="default"/>
          <w:lang w:val="en-US" w:eastAsia="zh-CN"/>
        </w:rPr>
        <w:t>内审组长应根据体系运行情况和上次审核结果，编制年度内审计划，内容包括：</w:t>
      </w:r>
    </w:p>
    <w:p w14:paraId="7D466F19">
      <w:pPr>
        <w:pStyle w:val="29"/>
        <w:rPr>
          <w:rFonts w:hint="default"/>
          <w:lang w:val="en-US" w:eastAsia="zh-CN"/>
        </w:rPr>
      </w:pPr>
      <w:r>
        <w:rPr>
          <w:rFonts w:hint="default"/>
          <w:lang w:val="en-US" w:eastAsia="zh-CN"/>
        </w:rPr>
        <w:t>审核目的、范围和准则</w:t>
      </w:r>
    </w:p>
    <w:p w14:paraId="4A9B947A">
      <w:pPr>
        <w:pStyle w:val="29"/>
        <w:rPr>
          <w:rFonts w:hint="default"/>
          <w:lang w:val="en-US" w:eastAsia="zh-CN"/>
        </w:rPr>
      </w:pPr>
      <w:r>
        <w:rPr>
          <w:rFonts w:hint="default"/>
          <w:lang w:val="en-US" w:eastAsia="zh-CN"/>
        </w:rPr>
        <w:t>受审部门和审核时间</w:t>
      </w:r>
    </w:p>
    <w:p w14:paraId="55697348">
      <w:pPr>
        <w:pStyle w:val="29"/>
        <w:rPr>
          <w:rFonts w:hint="default"/>
          <w:lang w:val="en-US" w:eastAsia="zh-CN"/>
        </w:rPr>
      </w:pPr>
      <w:r>
        <w:rPr>
          <w:rFonts w:hint="default"/>
          <w:lang w:val="en-US" w:eastAsia="zh-CN"/>
        </w:rPr>
        <w:t>审核组组成及分工</w:t>
      </w:r>
    </w:p>
    <w:p w14:paraId="5C1513DD">
      <w:pPr>
        <w:pStyle w:val="29"/>
        <w:rPr>
          <w:rFonts w:hint="default"/>
          <w:lang w:val="en-US" w:eastAsia="zh-CN"/>
        </w:rPr>
      </w:pPr>
      <w:r>
        <w:rPr>
          <w:rFonts w:hint="default"/>
          <w:lang w:val="en-US" w:eastAsia="zh-CN"/>
        </w:rPr>
        <w:t>资源需求安排</w:t>
      </w:r>
    </w:p>
    <w:p w14:paraId="56F69A44">
      <w:pPr>
        <w:pStyle w:val="30"/>
        <w:bidi w:val="0"/>
        <w:rPr>
          <w:rFonts w:hint="default"/>
          <w:lang w:val="en-US" w:eastAsia="zh-CN"/>
        </w:rPr>
      </w:pPr>
      <w:r>
        <w:rPr>
          <w:rFonts w:hint="default"/>
          <w:lang w:val="en-US" w:eastAsia="zh-CN"/>
        </w:rPr>
        <w:t>内审准备</w:t>
      </w:r>
    </w:p>
    <w:p w14:paraId="77831D54">
      <w:pPr>
        <w:pStyle w:val="31"/>
        <w:bidi w:val="0"/>
        <w:rPr>
          <w:rFonts w:hint="default"/>
          <w:lang w:val="en-US" w:eastAsia="zh-CN"/>
        </w:rPr>
      </w:pPr>
      <w:r>
        <w:rPr>
          <w:rFonts w:hint="default"/>
          <w:lang w:val="en-US" w:eastAsia="zh-CN"/>
        </w:rPr>
        <w:t>组建审核组</w:t>
      </w:r>
    </w:p>
    <w:p w14:paraId="18D1BDDA">
      <w:pPr>
        <w:pStyle w:val="29"/>
        <w:rPr>
          <w:rFonts w:hint="default"/>
          <w:lang w:val="en-US" w:eastAsia="zh-CN"/>
        </w:rPr>
      </w:pPr>
      <w:r>
        <w:rPr>
          <w:rFonts w:hint="default"/>
          <w:lang w:val="en-US" w:eastAsia="zh-CN"/>
        </w:rPr>
        <w:t>管理者代表任命具有相应资质的内审组长</w:t>
      </w:r>
    </w:p>
    <w:p w14:paraId="37670E2C">
      <w:pPr>
        <w:pStyle w:val="29"/>
        <w:rPr>
          <w:rFonts w:hint="default"/>
          <w:lang w:val="en-US" w:eastAsia="zh-CN"/>
        </w:rPr>
      </w:pPr>
      <w:r>
        <w:rPr>
          <w:rFonts w:hint="default"/>
          <w:lang w:val="en-US" w:eastAsia="zh-CN"/>
        </w:rPr>
        <w:t>内审组长选拔具备资格的内审员组成审核组</w:t>
      </w:r>
    </w:p>
    <w:p w14:paraId="2E597BF2">
      <w:pPr>
        <w:pStyle w:val="29"/>
        <w:rPr>
          <w:rFonts w:hint="default"/>
          <w:lang w:val="en-US" w:eastAsia="zh-CN"/>
        </w:rPr>
      </w:pPr>
      <w:r>
        <w:rPr>
          <w:rFonts w:hint="default"/>
          <w:lang w:val="en-US" w:eastAsia="zh-CN"/>
        </w:rPr>
        <w:t>确保审核员与被审部门无直接责任关系</w:t>
      </w:r>
    </w:p>
    <w:p w14:paraId="37B39D24">
      <w:pPr>
        <w:pStyle w:val="31"/>
        <w:bidi w:val="0"/>
        <w:rPr>
          <w:rFonts w:hint="default"/>
          <w:lang w:val="en-US" w:eastAsia="zh-CN"/>
        </w:rPr>
      </w:pPr>
      <w:r>
        <w:rPr>
          <w:rFonts w:hint="default"/>
          <w:lang w:val="en-US" w:eastAsia="zh-CN"/>
        </w:rPr>
        <w:t>编制审核文件</w:t>
      </w:r>
    </w:p>
    <w:p w14:paraId="64A76229">
      <w:pPr>
        <w:pStyle w:val="29"/>
        <w:rPr>
          <w:rFonts w:hint="default"/>
          <w:lang w:val="en-US" w:eastAsia="zh-CN"/>
        </w:rPr>
      </w:pPr>
      <w:r>
        <w:rPr>
          <w:rFonts w:hint="default"/>
          <w:lang w:val="en-US" w:eastAsia="zh-CN"/>
        </w:rPr>
        <w:t>制定具体的内审实施计划</w:t>
      </w:r>
    </w:p>
    <w:p w14:paraId="06938710">
      <w:pPr>
        <w:pStyle w:val="29"/>
        <w:rPr>
          <w:rFonts w:hint="default"/>
          <w:lang w:val="en-US" w:eastAsia="zh-CN"/>
        </w:rPr>
      </w:pPr>
      <w:r>
        <w:rPr>
          <w:rFonts w:hint="default"/>
          <w:lang w:val="en-US" w:eastAsia="zh-CN"/>
        </w:rPr>
        <w:t>编制内审检查表，明确检查内容和抽样方案</w:t>
      </w:r>
    </w:p>
    <w:p w14:paraId="63673A94">
      <w:pPr>
        <w:pStyle w:val="29"/>
        <w:rPr>
          <w:rFonts w:hint="default"/>
          <w:lang w:val="en-US" w:eastAsia="zh-CN"/>
        </w:rPr>
      </w:pPr>
      <w:r>
        <w:rPr>
          <w:rFonts w:hint="default"/>
          <w:lang w:val="en-US" w:eastAsia="zh-CN"/>
        </w:rPr>
        <w:t>准备审核所需的记录表格和文件</w:t>
      </w:r>
    </w:p>
    <w:p w14:paraId="77C208C3">
      <w:pPr>
        <w:pStyle w:val="31"/>
        <w:bidi w:val="0"/>
        <w:rPr>
          <w:rFonts w:hint="default"/>
          <w:lang w:val="en-US" w:eastAsia="zh-CN"/>
        </w:rPr>
      </w:pPr>
      <w:r>
        <w:rPr>
          <w:rFonts w:hint="default"/>
          <w:lang w:val="en-US" w:eastAsia="zh-CN"/>
        </w:rPr>
        <w:t>审核前沟通</w:t>
      </w:r>
    </w:p>
    <w:p w14:paraId="37A8D0A1">
      <w:pPr>
        <w:pStyle w:val="29"/>
        <w:rPr>
          <w:rFonts w:hint="default"/>
          <w:lang w:val="en-US" w:eastAsia="zh-CN"/>
        </w:rPr>
      </w:pPr>
      <w:r>
        <w:rPr>
          <w:rFonts w:hint="default"/>
          <w:lang w:val="en-US" w:eastAsia="zh-CN"/>
        </w:rPr>
        <w:t>提前5个工作日向受审部门下发审核计划</w:t>
      </w:r>
    </w:p>
    <w:p w14:paraId="037E1AE5">
      <w:pPr>
        <w:pStyle w:val="29"/>
        <w:rPr>
          <w:rFonts w:hint="default"/>
          <w:lang w:val="en-US" w:eastAsia="zh-CN"/>
        </w:rPr>
      </w:pPr>
      <w:r>
        <w:rPr>
          <w:rFonts w:hint="default"/>
          <w:lang w:val="en-US" w:eastAsia="zh-CN"/>
        </w:rPr>
        <w:t>确认审核安排和陪同人员</w:t>
      </w:r>
    </w:p>
    <w:p w14:paraId="60ED9852">
      <w:pPr>
        <w:pStyle w:val="29"/>
        <w:rPr>
          <w:rFonts w:hint="default"/>
          <w:lang w:val="en-US" w:eastAsia="zh-CN"/>
        </w:rPr>
      </w:pPr>
      <w:r>
        <w:rPr>
          <w:rFonts w:hint="default"/>
          <w:lang w:val="en-US" w:eastAsia="zh-CN"/>
        </w:rPr>
        <w:t>协调解决受审部门提出的问题</w:t>
      </w:r>
    </w:p>
    <w:p w14:paraId="65329EFB">
      <w:pPr>
        <w:pStyle w:val="30"/>
        <w:bidi w:val="0"/>
        <w:rPr>
          <w:rFonts w:hint="default"/>
          <w:lang w:val="en-US" w:eastAsia="zh-CN"/>
        </w:rPr>
      </w:pPr>
      <w:r>
        <w:rPr>
          <w:rFonts w:hint="default"/>
          <w:lang w:val="en-US" w:eastAsia="zh-CN"/>
        </w:rPr>
        <w:t>内审实施</w:t>
      </w:r>
    </w:p>
    <w:p w14:paraId="7CA03250">
      <w:pPr>
        <w:pStyle w:val="31"/>
        <w:bidi w:val="0"/>
        <w:rPr>
          <w:rFonts w:hint="default"/>
          <w:lang w:val="en-US" w:eastAsia="zh-CN"/>
        </w:rPr>
      </w:pPr>
      <w:r>
        <w:rPr>
          <w:rFonts w:hint="default"/>
          <w:lang w:val="en-US" w:eastAsia="zh-CN"/>
        </w:rPr>
        <w:t>首次会议</w:t>
      </w:r>
    </w:p>
    <w:p w14:paraId="064D5308">
      <w:pPr>
        <w:pStyle w:val="29"/>
        <w:rPr>
          <w:rFonts w:hint="default"/>
          <w:lang w:val="en-US" w:eastAsia="zh-CN"/>
        </w:rPr>
      </w:pPr>
      <w:r>
        <w:rPr>
          <w:rFonts w:hint="default"/>
          <w:lang w:val="en-US" w:eastAsia="zh-CN"/>
        </w:rPr>
        <w:t>审核组长介绍审核目的、范围和计划</w:t>
      </w:r>
    </w:p>
    <w:p w14:paraId="38D18B49">
      <w:pPr>
        <w:pStyle w:val="29"/>
        <w:rPr>
          <w:rFonts w:hint="default"/>
          <w:lang w:val="en-US" w:eastAsia="zh-CN"/>
        </w:rPr>
      </w:pPr>
      <w:r>
        <w:rPr>
          <w:rFonts w:hint="default"/>
          <w:lang w:val="en-US" w:eastAsia="zh-CN"/>
        </w:rPr>
        <w:t>确认审核安排和沟通渠道</w:t>
      </w:r>
    </w:p>
    <w:p w14:paraId="74999D50">
      <w:pPr>
        <w:pStyle w:val="29"/>
        <w:rPr>
          <w:rFonts w:hint="default"/>
          <w:lang w:val="en-US" w:eastAsia="zh-CN"/>
        </w:rPr>
      </w:pPr>
      <w:r>
        <w:rPr>
          <w:rFonts w:hint="default"/>
          <w:lang w:val="en-US" w:eastAsia="zh-CN"/>
        </w:rPr>
        <w:t>受审部门介绍准备情况和配合人员</w:t>
      </w:r>
    </w:p>
    <w:p w14:paraId="692C1442">
      <w:pPr>
        <w:pStyle w:val="31"/>
        <w:bidi w:val="0"/>
        <w:rPr>
          <w:rFonts w:hint="default"/>
          <w:lang w:val="en-US" w:eastAsia="zh-CN"/>
        </w:rPr>
      </w:pPr>
      <w:r>
        <w:rPr>
          <w:rFonts w:hint="default"/>
          <w:lang w:val="en-US" w:eastAsia="zh-CN"/>
        </w:rPr>
        <w:t>现场审核</w:t>
      </w:r>
    </w:p>
    <w:p w14:paraId="2BC41C03">
      <w:pPr>
        <w:pStyle w:val="29"/>
        <w:rPr>
          <w:rFonts w:hint="default"/>
          <w:lang w:val="en-US" w:eastAsia="zh-CN"/>
        </w:rPr>
      </w:pPr>
      <w:r>
        <w:rPr>
          <w:rFonts w:hint="default"/>
          <w:lang w:val="en-US" w:eastAsia="zh-CN"/>
        </w:rPr>
        <w:t>通过访谈、观察、查阅记录等方式收集证据</w:t>
      </w:r>
    </w:p>
    <w:p w14:paraId="6747855D">
      <w:pPr>
        <w:pStyle w:val="29"/>
        <w:rPr>
          <w:rFonts w:hint="default"/>
          <w:lang w:val="en-US" w:eastAsia="zh-CN"/>
        </w:rPr>
      </w:pPr>
      <w:r>
        <w:rPr>
          <w:rFonts w:hint="default"/>
          <w:lang w:val="en-US" w:eastAsia="zh-CN"/>
        </w:rPr>
        <w:t>依据检查表逐项检查体系运行情况</w:t>
      </w:r>
    </w:p>
    <w:p w14:paraId="0690C6AA">
      <w:pPr>
        <w:pStyle w:val="29"/>
        <w:rPr>
          <w:rFonts w:hint="default"/>
          <w:lang w:val="en-US" w:eastAsia="zh-CN"/>
        </w:rPr>
      </w:pPr>
      <w:r>
        <w:rPr>
          <w:rFonts w:hint="default"/>
          <w:lang w:val="en-US" w:eastAsia="zh-CN"/>
        </w:rPr>
        <w:t>记录符合和不符合的客观证据</w:t>
      </w:r>
    </w:p>
    <w:p w14:paraId="208712D4">
      <w:pPr>
        <w:pStyle w:val="29"/>
        <w:rPr>
          <w:rFonts w:hint="default"/>
          <w:lang w:val="en-US" w:eastAsia="zh-CN"/>
        </w:rPr>
      </w:pPr>
      <w:r>
        <w:rPr>
          <w:rFonts w:hint="default"/>
          <w:lang w:val="en-US" w:eastAsia="zh-CN"/>
        </w:rPr>
        <w:t>发现问题时与受审部门负责人确认</w:t>
      </w:r>
    </w:p>
    <w:p w14:paraId="2051CBE6">
      <w:pPr>
        <w:pStyle w:val="31"/>
        <w:bidi w:val="0"/>
        <w:rPr>
          <w:rFonts w:hint="default"/>
          <w:lang w:val="en-US" w:eastAsia="zh-CN"/>
        </w:rPr>
      </w:pPr>
      <w:r>
        <w:rPr>
          <w:rFonts w:hint="default"/>
          <w:lang w:val="en-US" w:eastAsia="zh-CN"/>
        </w:rPr>
        <w:t>审核发现评定</w:t>
      </w:r>
    </w:p>
    <w:p w14:paraId="6F0557ED">
      <w:pPr>
        <w:pStyle w:val="29"/>
        <w:rPr>
          <w:rFonts w:hint="default"/>
          <w:lang w:val="en-US" w:eastAsia="zh-CN"/>
        </w:rPr>
      </w:pPr>
      <w:r>
        <w:rPr>
          <w:rFonts w:hint="default"/>
          <w:lang w:val="en-US" w:eastAsia="zh-CN"/>
        </w:rPr>
        <w:t>对照审核准则评定审核发现</w:t>
      </w:r>
    </w:p>
    <w:p w14:paraId="38D2BAD1">
      <w:pPr>
        <w:pStyle w:val="29"/>
        <w:rPr>
          <w:rFonts w:hint="default"/>
          <w:lang w:val="en-US" w:eastAsia="zh-CN"/>
        </w:rPr>
      </w:pPr>
      <w:r>
        <w:rPr>
          <w:rFonts w:hint="default"/>
          <w:lang w:val="en-US" w:eastAsia="zh-CN"/>
        </w:rPr>
        <w:t>将问题分为重大不符合、一般不符合和观察项</w:t>
      </w:r>
    </w:p>
    <w:p w14:paraId="18AB0ECD">
      <w:pPr>
        <w:pStyle w:val="29"/>
        <w:rPr>
          <w:rFonts w:hint="default"/>
          <w:lang w:val="en-US" w:eastAsia="zh-CN"/>
        </w:rPr>
      </w:pPr>
      <w:r>
        <w:rPr>
          <w:rFonts w:hint="default"/>
          <w:lang w:val="en-US" w:eastAsia="zh-CN"/>
        </w:rPr>
        <w:t>确保发现问题描述准确、证据充分</w:t>
      </w:r>
    </w:p>
    <w:p w14:paraId="77F6BB01">
      <w:pPr>
        <w:pStyle w:val="30"/>
        <w:bidi w:val="0"/>
        <w:rPr>
          <w:rFonts w:hint="default"/>
          <w:lang w:val="en-US" w:eastAsia="zh-CN"/>
        </w:rPr>
      </w:pPr>
      <w:r>
        <w:rPr>
          <w:rFonts w:hint="default"/>
          <w:lang w:val="en-US" w:eastAsia="zh-CN"/>
        </w:rPr>
        <w:t>审核报告与跟踪</w:t>
      </w:r>
    </w:p>
    <w:p w14:paraId="7199AEF5">
      <w:pPr>
        <w:pStyle w:val="31"/>
        <w:bidi w:val="0"/>
        <w:rPr>
          <w:rFonts w:hint="default"/>
          <w:lang w:val="en-US" w:eastAsia="zh-CN"/>
        </w:rPr>
      </w:pPr>
      <w:r>
        <w:rPr>
          <w:rFonts w:hint="default"/>
          <w:lang w:val="en-US" w:eastAsia="zh-CN"/>
        </w:rPr>
        <w:t>末次会议</w:t>
      </w:r>
    </w:p>
    <w:p w14:paraId="03C1167A">
      <w:pPr>
        <w:pStyle w:val="29"/>
        <w:rPr>
          <w:rFonts w:hint="default"/>
          <w:lang w:val="en-US" w:eastAsia="zh-CN"/>
        </w:rPr>
      </w:pPr>
      <w:r>
        <w:rPr>
          <w:rFonts w:hint="default"/>
          <w:lang w:val="en-US" w:eastAsia="zh-CN"/>
        </w:rPr>
        <w:t>报告审核发现和审核结论</w:t>
      </w:r>
    </w:p>
    <w:p w14:paraId="13FD7E40">
      <w:pPr>
        <w:pStyle w:val="29"/>
        <w:rPr>
          <w:rFonts w:hint="default"/>
          <w:lang w:val="en-US" w:eastAsia="zh-CN"/>
        </w:rPr>
      </w:pPr>
      <w:r>
        <w:rPr>
          <w:rFonts w:hint="default"/>
          <w:lang w:val="en-US" w:eastAsia="zh-CN"/>
        </w:rPr>
        <w:t>确认不符合项事实</w:t>
      </w:r>
    </w:p>
    <w:p w14:paraId="668B5BF7">
      <w:pPr>
        <w:pStyle w:val="29"/>
        <w:rPr>
          <w:rFonts w:hint="default"/>
          <w:lang w:val="en-US" w:eastAsia="zh-CN"/>
        </w:rPr>
      </w:pPr>
      <w:r>
        <w:rPr>
          <w:rFonts w:hint="default"/>
          <w:lang w:val="en-US" w:eastAsia="zh-CN"/>
        </w:rPr>
        <w:t>商定纠正措施完成时限</w:t>
      </w:r>
    </w:p>
    <w:p w14:paraId="57429667">
      <w:pPr>
        <w:pStyle w:val="31"/>
        <w:bidi w:val="0"/>
        <w:rPr>
          <w:rFonts w:hint="default"/>
          <w:lang w:val="en-US" w:eastAsia="zh-CN"/>
        </w:rPr>
      </w:pPr>
      <w:r>
        <w:rPr>
          <w:rFonts w:hint="default"/>
          <w:lang w:val="en-US" w:eastAsia="zh-CN"/>
        </w:rPr>
        <w:t>审核报告</w:t>
      </w:r>
    </w:p>
    <w:p w14:paraId="7A96E336">
      <w:pPr>
        <w:pStyle w:val="29"/>
        <w:rPr>
          <w:rFonts w:hint="default"/>
          <w:lang w:val="en-US" w:eastAsia="zh-CN"/>
        </w:rPr>
      </w:pPr>
      <w:r>
        <w:rPr>
          <w:rFonts w:hint="default"/>
          <w:lang w:val="en-US" w:eastAsia="zh-CN"/>
        </w:rPr>
        <w:t>内审组长在审核后5个工作日内完成内审报告，内容包括：</w:t>
      </w:r>
    </w:p>
    <w:p w14:paraId="6C30FC2D">
      <w:pPr>
        <w:pStyle w:val="29"/>
        <w:rPr>
          <w:rFonts w:hint="default"/>
          <w:lang w:val="en-US" w:eastAsia="zh-CN"/>
        </w:rPr>
      </w:pPr>
      <w:r>
        <w:rPr>
          <w:rFonts w:hint="default"/>
          <w:lang w:val="en-US" w:eastAsia="zh-CN"/>
        </w:rPr>
        <w:t>审核概况和范围</w:t>
      </w:r>
    </w:p>
    <w:p w14:paraId="4E6DE343">
      <w:pPr>
        <w:pStyle w:val="29"/>
        <w:rPr>
          <w:rFonts w:hint="default"/>
          <w:lang w:val="en-US" w:eastAsia="zh-CN"/>
        </w:rPr>
      </w:pPr>
      <w:r>
        <w:rPr>
          <w:rFonts w:hint="default"/>
          <w:lang w:val="en-US" w:eastAsia="zh-CN"/>
        </w:rPr>
        <w:t>审核发现综述</w:t>
      </w:r>
    </w:p>
    <w:p w14:paraId="179C662C">
      <w:pPr>
        <w:pStyle w:val="29"/>
        <w:rPr>
          <w:rFonts w:hint="default"/>
          <w:lang w:val="en-US" w:eastAsia="zh-CN"/>
        </w:rPr>
      </w:pPr>
      <w:r>
        <w:rPr>
          <w:rFonts w:hint="default"/>
          <w:lang w:val="en-US" w:eastAsia="zh-CN"/>
        </w:rPr>
        <w:t>不符合项分布情况</w:t>
      </w:r>
    </w:p>
    <w:p w14:paraId="5E17B38E">
      <w:pPr>
        <w:pStyle w:val="29"/>
        <w:rPr>
          <w:rFonts w:hint="default"/>
          <w:lang w:val="en-US" w:eastAsia="zh-CN"/>
        </w:rPr>
      </w:pPr>
      <w:r>
        <w:rPr>
          <w:rFonts w:hint="default"/>
          <w:lang w:val="en-US" w:eastAsia="zh-CN"/>
        </w:rPr>
        <w:t>体系有效性评价</w:t>
      </w:r>
    </w:p>
    <w:p w14:paraId="25FA7E04">
      <w:pPr>
        <w:pStyle w:val="29"/>
        <w:rPr>
          <w:rFonts w:hint="default"/>
          <w:lang w:val="en-US" w:eastAsia="zh-CN"/>
        </w:rPr>
      </w:pPr>
      <w:r>
        <w:rPr>
          <w:rFonts w:hint="default"/>
          <w:lang w:val="en-US" w:eastAsia="zh-CN"/>
        </w:rPr>
        <w:t>改进建议</w:t>
      </w:r>
    </w:p>
    <w:p w14:paraId="07D6FDD9">
      <w:pPr>
        <w:pStyle w:val="31"/>
        <w:bidi w:val="0"/>
        <w:rPr>
          <w:rFonts w:hint="default"/>
          <w:lang w:val="en-US" w:eastAsia="zh-CN"/>
        </w:rPr>
      </w:pPr>
      <w:r>
        <w:rPr>
          <w:rFonts w:hint="default"/>
          <w:lang w:val="en-US" w:eastAsia="zh-CN"/>
        </w:rPr>
        <w:t>纠正措施跟踪</w:t>
      </w:r>
    </w:p>
    <w:p w14:paraId="395579ED">
      <w:pPr>
        <w:pStyle w:val="29"/>
        <w:rPr>
          <w:rFonts w:hint="default"/>
          <w:lang w:val="en-US" w:eastAsia="zh-CN"/>
        </w:rPr>
      </w:pPr>
      <w:r>
        <w:rPr>
          <w:rFonts w:hint="default"/>
          <w:lang w:val="en-US" w:eastAsia="zh-CN"/>
        </w:rPr>
        <w:t>受审部门在3个工作日内制定纠正措施计划</w:t>
      </w:r>
    </w:p>
    <w:p w14:paraId="12EECEB2">
      <w:pPr>
        <w:pStyle w:val="29"/>
        <w:rPr>
          <w:rFonts w:hint="default"/>
          <w:lang w:val="en-US" w:eastAsia="zh-CN"/>
        </w:rPr>
      </w:pPr>
      <w:r>
        <w:rPr>
          <w:rFonts w:hint="default"/>
          <w:lang w:val="en-US" w:eastAsia="zh-CN"/>
        </w:rPr>
        <w:t>内审组对措施有效性进行验证</w:t>
      </w:r>
    </w:p>
    <w:p w14:paraId="07026544">
      <w:pPr>
        <w:pStyle w:val="29"/>
        <w:rPr>
          <w:rFonts w:hint="default"/>
          <w:lang w:val="en-US" w:eastAsia="zh-CN"/>
        </w:rPr>
      </w:pPr>
      <w:r>
        <w:rPr>
          <w:rFonts w:hint="default"/>
          <w:lang w:val="en-US" w:eastAsia="zh-CN"/>
        </w:rPr>
        <w:t>对未达到预期效果的措施要求重新制定</w:t>
      </w:r>
    </w:p>
    <w:p w14:paraId="0F2816FD">
      <w:pPr>
        <w:pStyle w:val="30"/>
        <w:bidi w:val="0"/>
        <w:rPr>
          <w:rFonts w:hint="default"/>
          <w:lang w:val="en-US" w:eastAsia="zh-CN"/>
        </w:rPr>
      </w:pPr>
      <w:r>
        <w:rPr>
          <w:rFonts w:hint="default"/>
          <w:lang w:val="en-US" w:eastAsia="zh-CN"/>
        </w:rPr>
        <w:t>记录管理</w:t>
      </w:r>
    </w:p>
    <w:p w14:paraId="73F81A3F">
      <w:pPr>
        <w:pStyle w:val="31"/>
        <w:bidi w:val="0"/>
        <w:rPr>
          <w:rFonts w:hint="default"/>
          <w:lang w:val="en-US" w:eastAsia="zh-CN"/>
        </w:rPr>
      </w:pPr>
      <w:r>
        <w:rPr>
          <w:rFonts w:hint="default"/>
          <w:lang w:val="en-US" w:eastAsia="zh-CN"/>
        </w:rPr>
        <w:t>记录要求</w:t>
      </w:r>
    </w:p>
    <w:p w14:paraId="7BC08C88">
      <w:pPr>
        <w:pStyle w:val="29"/>
        <w:rPr>
          <w:rFonts w:hint="default"/>
          <w:lang w:val="en-US" w:eastAsia="zh-CN"/>
        </w:rPr>
      </w:pPr>
      <w:r>
        <w:rPr>
          <w:rFonts w:hint="default"/>
          <w:lang w:val="en-US" w:eastAsia="zh-CN"/>
        </w:rPr>
        <w:t>所有内审活动应保持完整记录，包括：</w:t>
      </w:r>
    </w:p>
    <w:p w14:paraId="0EE86486">
      <w:pPr>
        <w:pStyle w:val="29"/>
        <w:rPr>
          <w:rFonts w:hint="default"/>
          <w:lang w:val="en-US" w:eastAsia="zh-CN"/>
        </w:rPr>
      </w:pPr>
      <w:r>
        <w:rPr>
          <w:rFonts w:hint="default"/>
          <w:lang w:val="en-US" w:eastAsia="zh-CN"/>
        </w:rPr>
        <w:t>内审计划及检查表</w:t>
      </w:r>
    </w:p>
    <w:p w14:paraId="420B96C5">
      <w:pPr>
        <w:pStyle w:val="29"/>
        <w:rPr>
          <w:rFonts w:hint="default"/>
          <w:lang w:val="en-US" w:eastAsia="zh-CN"/>
        </w:rPr>
      </w:pPr>
      <w:r>
        <w:rPr>
          <w:rFonts w:hint="default"/>
          <w:lang w:val="en-US" w:eastAsia="zh-CN"/>
        </w:rPr>
        <w:t>会议和审核记录</w:t>
      </w:r>
    </w:p>
    <w:p w14:paraId="4A8E928F">
      <w:pPr>
        <w:pStyle w:val="29"/>
        <w:rPr>
          <w:rFonts w:hint="default"/>
          <w:lang w:val="en-US" w:eastAsia="zh-CN"/>
        </w:rPr>
      </w:pPr>
      <w:r>
        <w:rPr>
          <w:rFonts w:hint="default"/>
          <w:lang w:val="en-US" w:eastAsia="zh-CN"/>
        </w:rPr>
        <w:t>不符合项报告</w:t>
      </w:r>
    </w:p>
    <w:p w14:paraId="7ECFC9AB">
      <w:pPr>
        <w:pStyle w:val="29"/>
        <w:rPr>
          <w:rFonts w:hint="default"/>
          <w:lang w:val="en-US" w:eastAsia="zh-CN"/>
        </w:rPr>
      </w:pPr>
      <w:r>
        <w:rPr>
          <w:rFonts w:hint="default"/>
          <w:lang w:val="en-US" w:eastAsia="zh-CN"/>
        </w:rPr>
        <w:t>内审报告</w:t>
      </w:r>
    </w:p>
    <w:p w14:paraId="78BE07AE">
      <w:pPr>
        <w:pStyle w:val="29"/>
        <w:rPr>
          <w:rFonts w:hint="default"/>
          <w:lang w:val="en-US" w:eastAsia="zh-CN"/>
        </w:rPr>
      </w:pPr>
      <w:r>
        <w:rPr>
          <w:rFonts w:hint="default"/>
          <w:lang w:val="en-US" w:eastAsia="zh-CN"/>
        </w:rPr>
        <w:t>纠正措施验证记录</w:t>
      </w:r>
    </w:p>
    <w:p w14:paraId="39EBC0CE">
      <w:pPr>
        <w:pStyle w:val="31"/>
        <w:bidi w:val="0"/>
        <w:rPr>
          <w:rFonts w:hint="default"/>
          <w:lang w:val="en-US" w:eastAsia="zh-CN"/>
        </w:rPr>
      </w:pPr>
      <w:r>
        <w:rPr>
          <w:rFonts w:hint="default"/>
          <w:lang w:val="en-US" w:eastAsia="zh-CN"/>
        </w:rPr>
        <w:t>归档管理</w:t>
      </w:r>
    </w:p>
    <w:p w14:paraId="36025F92">
      <w:pPr>
        <w:pStyle w:val="29"/>
        <w:rPr>
          <w:rFonts w:hint="default"/>
          <w:lang w:val="en-US" w:eastAsia="zh-CN"/>
        </w:rPr>
      </w:pPr>
      <w:r>
        <w:rPr>
          <w:rFonts w:hint="default"/>
          <w:lang w:val="en-US" w:eastAsia="zh-CN"/>
        </w:rPr>
        <w:t>内审组长在末次会议后5个工作日内整理记录</w:t>
      </w:r>
    </w:p>
    <w:p w14:paraId="125D1CF9">
      <w:pPr>
        <w:pStyle w:val="29"/>
        <w:rPr>
          <w:rFonts w:hint="default"/>
          <w:lang w:val="en-US" w:eastAsia="zh-CN"/>
        </w:rPr>
      </w:pPr>
      <w:r>
        <w:rPr>
          <w:rFonts w:hint="default"/>
          <w:lang w:val="en-US" w:eastAsia="zh-CN"/>
        </w:rPr>
        <w:t>所有记录提交管理者代表审批</w:t>
      </w:r>
    </w:p>
    <w:p w14:paraId="2CC17444">
      <w:pPr>
        <w:pStyle w:val="29"/>
        <w:rPr>
          <w:rFonts w:hint="default"/>
          <w:lang w:val="en-US" w:eastAsia="zh-CN"/>
        </w:rPr>
      </w:pPr>
      <w:r>
        <w:rPr>
          <w:rFonts w:hint="default"/>
          <w:lang w:val="en-US" w:eastAsia="zh-CN"/>
        </w:rPr>
        <w:t>完整记录由质量部统一归档保存</w:t>
      </w:r>
    </w:p>
    <w:p w14:paraId="646CB7F1">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10" w:name="bookmark3"/>
      <w:bookmarkEnd w:id="10"/>
      <w:bookmarkStart w:id="11" w:name="_Toc26732"/>
      <w:bookmarkStart w:id="12" w:name="_Toc17424"/>
      <w:r>
        <w:rPr>
          <w:rStyle w:val="38"/>
          <w:rFonts w:hint="eastAsia" w:eastAsia="宋体"/>
          <w:lang w:val="en-US" w:eastAsia="zh-CN"/>
        </w:rPr>
        <w:t>附则</w:t>
      </w:r>
      <w:bookmarkEnd w:id="11"/>
      <w:bookmarkEnd w:id="12"/>
    </w:p>
    <w:p w14:paraId="282C941D">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人力</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55478B8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9412FC6">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bookmark14"/>
      <w:bookmarkEnd w:id="13"/>
      <w:bookmarkStart w:id="14" w:name="_Toc3387"/>
      <w:r>
        <w:rPr>
          <w:rFonts w:hint="eastAsia"/>
          <w:lang w:val="en-US" w:eastAsia="zh-CN"/>
        </w:rPr>
        <w:t>附件</w:t>
      </w:r>
      <w:bookmarkEnd w:id="14"/>
    </w:p>
    <w:p w14:paraId="6A6DF219">
      <w:pPr>
        <w:pStyle w:val="29"/>
        <w:rPr>
          <w:rFonts w:hint="default"/>
          <w:lang w:val="en-US" w:eastAsia="zh-CN"/>
        </w:rPr>
      </w:pPr>
      <w:r>
        <w:rPr>
          <w:rFonts w:hint="eastAsia"/>
          <w:lang w:val="en-US" w:eastAsia="zh-CN"/>
        </w:rPr>
        <w:t>无</w:t>
      </w:r>
    </w:p>
    <w:p w14:paraId="4863664D">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16438"/>
      <w:r>
        <w:rPr>
          <w:rFonts w:hint="eastAsia"/>
          <w:lang w:val="en-US" w:eastAsia="zh-CN"/>
        </w:rPr>
        <w:t>记录</w:t>
      </w:r>
      <w:bookmarkEnd w:id="15"/>
    </w:p>
    <w:p w14:paraId="05F117FD">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19F5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67310</wp:posOffset>
          </wp:positionH>
          <wp:positionV relativeFrom="paragraph">
            <wp:posOffset>-345440</wp:posOffset>
          </wp:positionV>
          <wp:extent cx="718820" cy="461010"/>
          <wp:effectExtent l="0" t="0" r="12700" b="11430"/>
          <wp:wrapNone/>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1"/>
                  <a:stretch>
                    <a:fillRect/>
                  </a:stretch>
                </pic:blipFill>
                <pic:spPr>
                  <a:xfrm>
                    <a:off x="0" y="0"/>
                    <a:ext cx="718820" cy="461010"/>
                  </a:xfrm>
                  <a:prstGeom prst="rect">
                    <a:avLst/>
                  </a:prstGeom>
                </pic:spPr>
              </pic:pic>
            </a:graphicData>
          </a:graphic>
        </wp:anchor>
      </w:drawing>
    </w: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阿克苏智汇人才服务</w:t>
    </w:r>
    <w:r>
      <w:rPr>
        <w:rFonts w:hint="eastAsia" w:eastAsiaTheme="minorEastAsia"/>
        <w:lang w:eastAsia="zh-CN"/>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048054F"/>
    <w:multiLevelType w:val="singleLevel"/>
    <w:tmpl w:val="0048054F"/>
    <w:lvl w:ilvl="0" w:tentative="0">
      <w:start w:val="1"/>
      <w:numFmt w:val="decimal"/>
      <w:lvlText w:val="%1."/>
      <w:lvlJc w:val="left"/>
      <w:pPr>
        <w:ind w:left="425" w:hanging="425"/>
      </w:pPr>
      <w:rPr>
        <w:rFonts w:hint="default"/>
      </w:rPr>
    </w:lvl>
  </w:abstractNum>
  <w:abstractNum w:abstractNumId="3">
    <w:nsid w:val="54C8AD64"/>
    <w:multiLevelType w:val="singleLevel"/>
    <w:tmpl w:val="54C8AD64"/>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55574E"/>
    <w:rsid w:val="00FB7355"/>
    <w:rsid w:val="0104303E"/>
    <w:rsid w:val="01E07299"/>
    <w:rsid w:val="0211124F"/>
    <w:rsid w:val="029C58B6"/>
    <w:rsid w:val="02CE3596"/>
    <w:rsid w:val="02EA4873"/>
    <w:rsid w:val="040604A9"/>
    <w:rsid w:val="05980692"/>
    <w:rsid w:val="06782196"/>
    <w:rsid w:val="073D05DE"/>
    <w:rsid w:val="07660A33"/>
    <w:rsid w:val="080D4B60"/>
    <w:rsid w:val="09975029"/>
    <w:rsid w:val="09D65B51"/>
    <w:rsid w:val="09F2400E"/>
    <w:rsid w:val="09FC6C3A"/>
    <w:rsid w:val="0A1E73F4"/>
    <w:rsid w:val="0CF12BAD"/>
    <w:rsid w:val="0F4F57A4"/>
    <w:rsid w:val="0FD115EF"/>
    <w:rsid w:val="103F5AD3"/>
    <w:rsid w:val="127C6B6A"/>
    <w:rsid w:val="130628D8"/>
    <w:rsid w:val="131B2827"/>
    <w:rsid w:val="139879D4"/>
    <w:rsid w:val="13D604FC"/>
    <w:rsid w:val="14B42767"/>
    <w:rsid w:val="15243815"/>
    <w:rsid w:val="15CC7E09"/>
    <w:rsid w:val="15EC2259"/>
    <w:rsid w:val="16B0772A"/>
    <w:rsid w:val="170D06D9"/>
    <w:rsid w:val="17103D25"/>
    <w:rsid w:val="17710C68"/>
    <w:rsid w:val="17BE19D3"/>
    <w:rsid w:val="17CB6160"/>
    <w:rsid w:val="17DF25E3"/>
    <w:rsid w:val="18846779"/>
    <w:rsid w:val="18F465E3"/>
    <w:rsid w:val="19E020D4"/>
    <w:rsid w:val="1A9923D9"/>
    <w:rsid w:val="1B337BA0"/>
    <w:rsid w:val="1BC709D8"/>
    <w:rsid w:val="1D997E65"/>
    <w:rsid w:val="1E692834"/>
    <w:rsid w:val="1EFD1033"/>
    <w:rsid w:val="1FCB1131"/>
    <w:rsid w:val="20D91840"/>
    <w:rsid w:val="215C6FE4"/>
    <w:rsid w:val="23A26E72"/>
    <w:rsid w:val="23DD436C"/>
    <w:rsid w:val="23FD59BD"/>
    <w:rsid w:val="257E35F2"/>
    <w:rsid w:val="26C427F2"/>
    <w:rsid w:val="2908648D"/>
    <w:rsid w:val="294F2DD3"/>
    <w:rsid w:val="2975663E"/>
    <w:rsid w:val="2A8B6C6D"/>
    <w:rsid w:val="2B612949"/>
    <w:rsid w:val="2E3651EC"/>
    <w:rsid w:val="2E500F2E"/>
    <w:rsid w:val="2F041F69"/>
    <w:rsid w:val="2FC11C09"/>
    <w:rsid w:val="32C03301"/>
    <w:rsid w:val="333746BC"/>
    <w:rsid w:val="346C0F8D"/>
    <w:rsid w:val="350D601C"/>
    <w:rsid w:val="35DE67BA"/>
    <w:rsid w:val="36883480"/>
    <w:rsid w:val="36914A2B"/>
    <w:rsid w:val="3699743B"/>
    <w:rsid w:val="375F2433"/>
    <w:rsid w:val="37971BCD"/>
    <w:rsid w:val="37DF17C6"/>
    <w:rsid w:val="37E666B0"/>
    <w:rsid w:val="3914549F"/>
    <w:rsid w:val="3BE23632"/>
    <w:rsid w:val="3C265C15"/>
    <w:rsid w:val="3D5F4115"/>
    <w:rsid w:val="3E174CFF"/>
    <w:rsid w:val="3E287A22"/>
    <w:rsid w:val="3E5A3954"/>
    <w:rsid w:val="3F2D2E17"/>
    <w:rsid w:val="40646D0C"/>
    <w:rsid w:val="40873B7A"/>
    <w:rsid w:val="40B11D0C"/>
    <w:rsid w:val="41DA54D8"/>
    <w:rsid w:val="426164FC"/>
    <w:rsid w:val="42F36125"/>
    <w:rsid w:val="43223C0F"/>
    <w:rsid w:val="4368266F"/>
    <w:rsid w:val="43996CCD"/>
    <w:rsid w:val="43D67F21"/>
    <w:rsid w:val="45EE5265"/>
    <w:rsid w:val="46BF2EEE"/>
    <w:rsid w:val="472B0583"/>
    <w:rsid w:val="47BB1907"/>
    <w:rsid w:val="47D37F38"/>
    <w:rsid w:val="484F2050"/>
    <w:rsid w:val="48FA020D"/>
    <w:rsid w:val="49B33C44"/>
    <w:rsid w:val="49CC1B61"/>
    <w:rsid w:val="4BFB76A0"/>
    <w:rsid w:val="4D1711C1"/>
    <w:rsid w:val="4D20220D"/>
    <w:rsid w:val="4E0B149B"/>
    <w:rsid w:val="4EF63225"/>
    <w:rsid w:val="4F6F1974"/>
    <w:rsid w:val="503F29AA"/>
    <w:rsid w:val="504F52E3"/>
    <w:rsid w:val="50BE0A71"/>
    <w:rsid w:val="511C5981"/>
    <w:rsid w:val="51F0261E"/>
    <w:rsid w:val="53FA37B7"/>
    <w:rsid w:val="5486504B"/>
    <w:rsid w:val="54CB7E3C"/>
    <w:rsid w:val="56290384"/>
    <w:rsid w:val="5632548A"/>
    <w:rsid w:val="58675193"/>
    <w:rsid w:val="5A6610C0"/>
    <w:rsid w:val="5B0B0058"/>
    <w:rsid w:val="5B207C78"/>
    <w:rsid w:val="5B85605C"/>
    <w:rsid w:val="5D0D6A04"/>
    <w:rsid w:val="5D2E6280"/>
    <w:rsid w:val="5D6677C8"/>
    <w:rsid w:val="5E6A32E8"/>
    <w:rsid w:val="5EFB71CC"/>
    <w:rsid w:val="5F7F1015"/>
    <w:rsid w:val="613E7799"/>
    <w:rsid w:val="6200643D"/>
    <w:rsid w:val="62312EF8"/>
    <w:rsid w:val="640721AA"/>
    <w:rsid w:val="652A5B5F"/>
    <w:rsid w:val="657F3B1C"/>
    <w:rsid w:val="659C092C"/>
    <w:rsid w:val="65C43C25"/>
    <w:rsid w:val="678C0773"/>
    <w:rsid w:val="68804644"/>
    <w:rsid w:val="698F3ABF"/>
    <w:rsid w:val="6A194D39"/>
    <w:rsid w:val="6ADC556D"/>
    <w:rsid w:val="6BAD2A66"/>
    <w:rsid w:val="6BF30DC0"/>
    <w:rsid w:val="6C2D0641"/>
    <w:rsid w:val="6D834437"/>
    <w:rsid w:val="6DB46CBB"/>
    <w:rsid w:val="6E6623CD"/>
    <w:rsid w:val="6F887A72"/>
    <w:rsid w:val="711772FF"/>
    <w:rsid w:val="713003C1"/>
    <w:rsid w:val="7141437C"/>
    <w:rsid w:val="7197656F"/>
    <w:rsid w:val="73593BFF"/>
    <w:rsid w:val="73644352"/>
    <w:rsid w:val="73C7661F"/>
    <w:rsid w:val="76960176"/>
    <w:rsid w:val="76F6721A"/>
    <w:rsid w:val="776C1A27"/>
    <w:rsid w:val="780B1240"/>
    <w:rsid w:val="783E1615"/>
    <w:rsid w:val="78414B3A"/>
    <w:rsid w:val="78CA2EA9"/>
    <w:rsid w:val="78D1021F"/>
    <w:rsid w:val="7A1940E8"/>
    <w:rsid w:val="7A2F7467"/>
    <w:rsid w:val="7B4E6013"/>
    <w:rsid w:val="7B5C70B9"/>
    <w:rsid w:val="7C066719"/>
    <w:rsid w:val="7C434C07"/>
    <w:rsid w:val="7D0C7F34"/>
    <w:rsid w:val="7DA168CE"/>
    <w:rsid w:val="7DF905A7"/>
    <w:rsid w:val="7E086FD3"/>
    <w:rsid w:val="7F8244DD"/>
    <w:rsid w:val="7F9B10FB"/>
    <w:rsid w:val="7FE7774A"/>
    <w:rsid w:val="7FE8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601</Words>
  <Characters>731</Characters>
  <Lines>0</Lines>
  <Paragraphs>0</Paragraphs>
  <TotalTime>4</TotalTime>
  <ScaleCrop>false</ScaleCrop>
  <LinksUpToDate>false</LinksUpToDate>
  <CharactersWithSpaces>796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2025-10-23T11:14:32Z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2052-12.1.0.23125</vt:lpwstr>
  </property>
  <property fmtid="{D5CDD505-2E9C-101B-9397-08002B2CF9AE}" pid="4" name="KSOTemplateDocerSaveRecord">
    <vt:lpwstr>eyJoZGlkIjoiMDY5NmFjMmM4ZTljMGJiZDAxN2JmYTc0NGI0NmFiNDgiLCJ1c2VySWQiOiIxMDc1MzgyOSJ9</vt:lpwstr>
  </property>
</Properties>
</file>