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53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5978"/>
      <w:r>
        <w:rPr>
          <w:rFonts w:hint="eastAsia"/>
          <w:lang w:val="en-US" w:eastAsia="zh-CN"/>
        </w:rPr>
        <w:t>人员绩效考核管理制度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69BF155">
          <w:pPr>
            <w:pStyle w:val="16"/>
            <w:tabs>
              <w:tab w:val="right" w:leader="dot" w:pos="8306"/>
            </w:tabs>
          </w:pPr>
          <w:bookmarkStart w:id="28" w:name="_GoBack"/>
          <w:bookmarkEnd w:id="2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_Toc5360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22E0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_Toc25978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1FFD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8D8B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_Toc12049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7C9D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_Toc24733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346E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_Toc8130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AD9A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_Toc8488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1969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_Toc29157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5F60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_Toc3218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AC4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_Toc13011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938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_Toc18021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1A5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绩效考核</w:t>
          </w:r>
          <w:r>
            <w:tab/>
          </w:r>
          <w:r>
            <w:fldChar w:fldCharType="begin"/>
          </w:r>
          <w:r>
            <w:instrText xml:space="preserve"> PAGEREF _Toc32029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7F34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3.2. 绩效工资</w:t>
          </w:r>
          <w:r>
            <w:tab/>
          </w:r>
          <w:r>
            <w:fldChar w:fldCharType="begin"/>
          </w:r>
          <w:r>
            <w:instrText xml:space="preserve"> PAGEREF _Toc14175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89E3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3.3. 强制分布</w:t>
          </w:r>
          <w:r>
            <w:tab/>
          </w:r>
          <w:r>
            <w:fldChar w:fldCharType="begin"/>
          </w:r>
          <w:r>
            <w:instrText xml:space="preserve"> PAGEREF _Toc5453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A18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_Toc7574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543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考核周期与方式</w:t>
          </w:r>
          <w:r>
            <w:tab/>
          </w:r>
          <w:r>
            <w:fldChar w:fldCharType="begin"/>
          </w:r>
          <w:r>
            <w:instrText xml:space="preserve"> PAGEREF _Toc1520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DAEE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考核等级与系数</w:t>
          </w:r>
          <w:r>
            <w:tab/>
          </w:r>
          <w:r>
            <w:fldChar w:fldCharType="begin"/>
          </w:r>
          <w:r>
            <w:instrText xml:space="preserve"> PAGEREF _Toc21231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2EA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绩效工资核算</w:t>
          </w:r>
          <w:r>
            <w:tab/>
          </w:r>
          <w:r>
            <w:fldChar w:fldCharType="begin"/>
          </w:r>
          <w:r>
            <w:instrText xml:space="preserve"> PAGEREF _Toc31934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2662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考核流程</w:t>
          </w:r>
          <w:r>
            <w:tab/>
          </w:r>
          <w:r>
            <w:fldChar w:fldCharType="begin"/>
          </w:r>
          <w:r>
            <w:instrText xml:space="preserve"> PAGEREF _Toc9243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E0FA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绩效面谈与改进</w:t>
          </w:r>
          <w:r>
            <w:tab/>
          </w:r>
          <w:r>
            <w:fldChar w:fldCharType="begin"/>
          </w:r>
          <w:r>
            <w:instrText xml:space="preserve"> PAGEREF _Toc31249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B1B1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考核结果应用</w:t>
          </w:r>
          <w:r>
            <w:tab/>
          </w:r>
          <w:r>
            <w:fldChar w:fldCharType="begin"/>
          </w:r>
          <w:r>
            <w:instrText xml:space="preserve"> PAGEREF _Toc9402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1BF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绩效考核申诉</w:t>
          </w:r>
          <w:r>
            <w:tab/>
          </w:r>
          <w:r>
            <w:fldChar w:fldCharType="begin"/>
          </w:r>
          <w:r>
            <w:instrText xml:space="preserve"> PAGEREF _Toc11534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F48F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_Toc4436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C56D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_Toc27186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5FF4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_Toc5693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605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2049"/>
      <w:r>
        <w:rPr>
          <w:rFonts w:hint="eastAsia"/>
          <w:lang w:val="en-US" w:eastAsia="zh-CN"/>
        </w:rPr>
        <w:t>目的</w:t>
      </w:r>
      <w:bookmarkEnd w:id="3"/>
    </w:p>
    <w:p w14:paraId="2B089216">
      <w:pPr>
        <w:pStyle w:val="29"/>
        <w:bidi w:val="0"/>
        <w:rPr>
          <w:rFonts w:hint="eastAsia"/>
          <w:lang w:val="en-US" w:eastAsia="zh-CN"/>
        </w:rPr>
      </w:pPr>
      <w:r>
        <w:t>为建立并完善公司技术人员的绩效管理体系，客观评价员工工作表现，激发员工潜能，提升组织整体效能，确保公司战略目标的实现，特制定本制度。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4733"/>
      <w:r>
        <w:rPr>
          <w:rFonts w:hint="eastAsia"/>
          <w:lang w:val="en-US" w:eastAsia="zh-CN"/>
        </w:rPr>
        <w:t>适用范围</w:t>
      </w:r>
      <w:bookmarkEnd w:id="4"/>
    </w:p>
    <w:p w14:paraId="3A5654AA">
      <w:pPr>
        <w:pStyle w:val="29"/>
        <w:bidi w:val="0"/>
        <w:rPr>
          <w:rFonts w:hint="eastAsia"/>
          <w:lang w:val="en-US" w:eastAsia="zh-CN"/>
        </w:rPr>
      </w:pPr>
      <w:r>
        <w:t>本制度适用于公司运维部、质量管理部、软件开发部、产品部等所有技术岗位的已转正员工。试用期员工依据《新员工试用期考核管理办法》执行。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130"/>
      <w:r>
        <w:rPr>
          <w:rFonts w:hint="eastAsia"/>
          <w:lang w:val="en-US" w:eastAsia="zh-CN"/>
        </w:rPr>
        <w:t>原则</w:t>
      </w:r>
      <w:bookmarkEnd w:id="5"/>
    </w:p>
    <w:p w14:paraId="36A4CC43">
      <w:pPr>
        <w:pStyle w:val="29"/>
        <w:bidi w:val="0"/>
      </w:pPr>
      <w:r>
        <w:rPr>
          <w:rFonts w:hint="default"/>
        </w:rPr>
        <w:t>本制度遵循以下基本原则：</w:t>
      </w:r>
    </w:p>
    <w:p w14:paraId="1731372F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客观公正原则：考核以事实和数据为依据，避免主观臆断。</w:t>
      </w:r>
    </w:p>
    <w:p w14:paraId="29673B1B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目标导向原则：考核内容围绕核心职责与关键任务展开。</w:t>
      </w:r>
    </w:p>
    <w:p w14:paraId="07BDD67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沟通反馈原则：考核结果须及时反馈，并作为绩效面谈与改进的基础。</w:t>
      </w:r>
    </w:p>
    <w:p w14:paraId="2412B2C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</w:rPr>
        <w:t>结果应用原则：考核结果与薪酬、晋升、培训等激励机制紧密挂钩。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8488"/>
      <w:r>
        <w:rPr>
          <w:rFonts w:hint="eastAsia"/>
          <w:lang w:val="en-US" w:eastAsia="zh-CN"/>
        </w:rPr>
        <w:t>岗位职责</w:t>
      </w:r>
      <w:bookmarkEnd w:id="6"/>
    </w:p>
    <w:p w14:paraId="56C0B8E2">
      <w:pPr>
        <w:pStyle w:val="31"/>
        <w:bidi w:val="0"/>
      </w:pPr>
      <w:bookmarkStart w:id="7" w:name="_Toc29157"/>
      <w:r>
        <w:rPr>
          <w:rFonts w:hint="eastAsia"/>
          <w:lang w:eastAsia="zh-CN"/>
        </w:rPr>
        <w:t>人力部</w:t>
      </w:r>
      <w:bookmarkEnd w:id="7"/>
    </w:p>
    <w:p w14:paraId="5FDCC732">
      <w:pPr>
        <w:pStyle w:val="29"/>
        <w:bidi w:val="0"/>
      </w:pPr>
      <w:r>
        <w:rPr>
          <w:rFonts w:hint="default"/>
        </w:rPr>
        <w:t>负责本制度的制定、修订、解释与推行；提供考核工具与方法支持；监督考核过程的规范性；受理考核申诉。</w:t>
      </w:r>
    </w:p>
    <w:p w14:paraId="1788F7FA">
      <w:pPr>
        <w:pStyle w:val="31"/>
        <w:bidi w:val="0"/>
        <w:rPr>
          <w:rFonts w:hint="default"/>
        </w:rPr>
      </w:pPr>
      <w:bookmarkStart w:id="8" w:name="_Toc3218"/>
      <w:r>
        <w:rPr>
          <w:rFonts w:hint="default"/>
        </w:rPr>
        <w:t>各部门负责人</w:t>
      </w:r>
      <w:bookmarkEnd w:id="8"/>
    </w:p>
    <w:p w14:paraId="3189648D">
      <w:pPr>
        <w:pStyle w:val="29"/>
        <w:bidi w:val="0"/>
      </w:pPr>
      <w:r>
        <w:rPr>
          <w:rFonts w:hint="default"/>
        </w:rPr>
        <w:t>负责本部门考核工作的组织实施，审核考核结果，指导绩效面谈与改进。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3011"/>
      <w:r>
        <w:rPr>
          <w:rFonts w:hint="eastAsia"/>
          <w:lang w:val="en-US" w:eastAsia="zh-CN"/>
        </w:rPr>
        <w:t>引用依据</w:t>
      </w:r>
      <w:bookmarkEnd w:id="9"/>
    </w:p>
    <w:p w14:paraId="7BBB1CD5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055FB3C5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15BB7766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09DB0E1F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5FE25927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 w14:paraId="754AC496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公司《员工手册》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18021"/>
      <w:r>
        <w:rPr>
          <w:rFonts w:hint="eastAsia"/>
          <w:lang w:val="en-US" w:eastAsia="zh-CN"/>
        </w:rPr>
        <w:t>定义与术语</w:t>
      </w:r>
      <w:bookmarkEnd w:id="10"/>
    </w:p>
    <w:p w14:paraId="25188555">
      <w:pPr>
        <w:pStyle w:val="30"/>
        <w:bidi w:val="0"/>
      </w:pPr>
      <w:bookmarkStart w:id="11" w:name="_Toc32029"/>
      <w:r>
        <w:t>绩效考核</w:t>
      </w:r>
      <w:bookmarkEnd w:id="11"/>
    </w:p>
    <w:p w14:paraId="7A1AA03A">
      <w:pPr>
        <w:pStyle w:val="29"/>
        <w:bidi w:val="0"/>
      </w:pPr>
      <w:r>
        <w:rPr>
          <w:rFonts w:hint="default"/>
        </w:rPr>
        <w:t>指公司按照既定标准和程序，对员工的工作行为与成果进行周期性评估的管理活动。</w:t>
      </w:r>
    </w:p>
    <w:p w14:paraId="1444C356">
      <w:pPr>
        <w:pStyle w:val="30"/>
        <w:bidi w:val="0"/>
        <w:rPr>
          <w:rFonts w:hint="default"/>
        </w:rPr>
      </w:pPr>
      <w:bookmarkStart w:id="12" w:name="_Toc14175"/>
      <w:r>
        <w:rPr>
          <w:rFonts w:hint="default"/>
        </w:rPr>
        <w:t>绩效工资</w:t>
      </w:r>
      <w:bookmarkEnd w:id="12"/>
    </w:p>
    <w:p w14:paraId="5916DB21">
      <w:pPr>
        <w:pStyle w:val="29"/>
        <w:bidi w:val="0"/>
      </w:pPr>
      <w:r>
        <w:rPr>
          <w:rFonts w:hint="default"/>
        </w:rPr>
        <w:t>与员工绩效考核结果挂钩的浮动薪酬部分。</w:t>
      </w:r>
    </w:p>
    <w:p w14:paraId="7B0FB4BA">
      <w:pPr>
        <w:pStyle w:val="30"/>
        <w:bidi w:val="0"/>
        <w:rPr>
          <w:rFonts w:hint="default"/>
        </w:rPr>
      </w:pPr>
      <w:bookmarkStart w:id="13" w:name="_Toc5453"/>
      <w:r>
        <w:rPr>
          <w:rFonts w:hint="default"/>
        </w:rPr>
        <w:t>强制分布</w:t>
      </w:r>
      <w:bookmarkEnd w:id="13"/>
    </w:p>
    <w:p w14:paraId="71FD6DE5">
      <w:pPr>
        <w:pStyle w:val="29"/>
        <w:bidi w:val="0"/>
      </w:pPr>
      <w:r>
        <w:rPr>
          <w:rFonts w:hint="default"/>
        </w:rPr>
        <w:t>为保障考核结果的合理区分度，对考核各等级人数比例进行限定的一种管理方法。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7574"/>
      <w:r>
        <w:rPr>
          <w:rFonts w:hint="eastAsia"/>
          <w:lang w:val="en-US" w:eastAsia="zh-CN"/>
        </w:rPr>
        <w:t>管理内容与要求</w:t>
      </w:r>
      <w:bookmarkEnd w:id="14"/>
    </w:p>
    <w:p w14:paraId="6C03C984">
      <w:pPr>
        <w:pStyle w:val="30"/>
        <w:bidi w:val="0"/>
        <w:rPr>
          <w:rFonts w:hint="default"/>
          <w:lang w:val="en-US" w:eastAsia="zh-CN"/>
        </w:rPr>
      </w:pPr>
      <w:bookmarkStart w:id="15" w:name="_Toc1520"/>
      <w:r>
        <w:rPr>
          <w:rFonts w:hint="default"/>
          <w:lang w:val="en-US" w:eastAsia="zh-CN"/>
        </w:rPr>
        <w:t>考核周期与方式</w:t>
      </w:r>
      <w:bookmarkEnd w:id="15"/>
    </w:p>
    <w:p w14:paraId="6B6673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实行月度考核，考核周期与自然月保持一致（当月26日至次月25日）。</w:t>
      </w:r>
    </w:p>
    <w:p w14:paraId="3AEA42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考核采用直接上级评价为主、部门负责人审核为辅的方式。具体考核关系及内容详见附件。</w:t>
      </w:r>
    </w:p>
    <w:p w14:paraId="75B247AD">
      <w:pPr>
        <w:pStyle w:val="30"/>
        <w:bidi w:val="0"/>
        <w:rPr>
          <w:rFonts w:hint="default"/>
          <w:lang w:val="en-US" w:eastAsia="zh-CN"/>
        </w:rPr>
      </w:pPr>
      <w:bookmarkStart w:id="16" w:name="_Toc21231"/>
      <w:r>
        <w:rPr>
          <w:rFonts w:hint="default"/>
          <w:lang w:val="en-US" w:eastAsia="zh-CN"/>
        </w:rPr>
        <w:t>考核等级与系数</w:t>
      </w:r>
      <w:bookmarkEnd w:id="16"/>
    </w:p>
    <w:p w14:paraId="560A9D8E">
      <w:pPr>
        <w:pStyle w:val="29"/>
        <w:bidi w:val="0"/>
      </w:pPr>
      <w:r>
        <w:t>考核采用百分制，并依据得分划分为S、A、B、C、D、E六个等级，各等级对应分数及绩效系数如</w:t>
      </w:r>
      <w:r>
        <w:rPr>
          <w:rFonts w:hint="eastAsia"/>
          <w:lang w:val="en-US" w:eastAsia="zh-CN"/>
        </w:rPr>
        <w:t>表4-1所示</w:t>
      </w:r>
      <w:r>
        <w:t>：</w:t>
      </w:r>
    </w:p>
    <w:p w14:paraId="1560F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ACBF11B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等级对应分数及绩效系数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A32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B578A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考核等级</w:t>
            </w:r>
          </w:p>
        </w:tc>
        <w:tc>
          <w:tcPr>
            <w:tcW w:w="2130" w:type="dxa"/>
          </w:tcPr>
          <w:p w14:paraId="7302295B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等级说明</w:t>
            </w:r>
          </w:p>
        </w:tc>
        <w:tc>
          <w:tcPr>
            <w:tcW w:w="2131" w:type="dxa"/>
          </w:tcPr>
          <w:p w14:paraId="0C1B8139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分数区间</w:t>
            </w:r>
          </w:p>
        </w:tc>
        <w:tc>
          <w:tcPr>
            <w:tcW w:w="2131" w:type="dxa"/>
          </w:tcPr>
          <w:p w14:paraId="7DE45AE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  <w:t>绩效系数</w:t>
            </w:r>
          </w:p>
        </w:tc>
      </w:tr>
      <w:tr w14:paraId="71509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489E37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2130" w:type="dxa"/>
          </w:tcPr>
          <w:p w14:paraId="55653FAB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 w14:paraId="54BA9D16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X≥130</w:t>
            </w:r>
          </w:p>
        </w:tc>
        <w:tc>
          <w:tcPr>
            <w:tcW w:w="2131" w:type="dxa"/>
          </w:tcPr>
          <w:p w14:paraId="12B1EB1D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 w14:paraId="40D4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138945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130" w:type="dxa"/>
          </w:tcPr>
          <w:p w14:paraId="433DA20E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 w14:paraId="3CCAF5CB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110≤X＜130</w:t>
            </w:r>
          </w:p>
        </w:tc>
        <w:tc>
          <w:tcPr>
            <w:tcW w:w="2131" w:type="dxa"/>
          </w:tcPr>
          <w:p w14:paraId="3C735B7A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</w:tr>
      <w:tr w14:paraId="7648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52D03E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130" w:type="dxa"/>
          </w:tcPr>
          <w:p w14:paraId="3DBE1D7D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  <w:tc>
          <w:tcPr>
            <w:tcW w:w="2131" w:type="dxa"/>
          </w:tcPr>
          <w:p w14:paraId="5ED344A7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95≤X＜110</w:t>
            </w:r>
          </w:p>
        </w:tc>
        <w:tc>
          <w:tcPr>
            <w:tcW w:w="2131" w:type="dxa"/>
          </w:tcPr>
          <w:p w14:paraId="1D866D45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</w:t>
            </w:r>
          </w:p>
        </w:tc>
      </w:tr>
      <w:tr w14:paraId="1D569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2FD55C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2130" w:type="dxa"/>
          </w:tcPr>
          <w:p w14:paraId="223C4875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称职</w:t>
            </w:r>
          </w:p>
        </w:tc>
        <w:tc>
          <w:tcPr>
            <w:tcW w:w="2131" w:type="dxa"/>
          </w:tcPr>
          <w:p w14:paraId="48A822C4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80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95</w:t>
            </w:r>
          </w:p>
        </w:tc>
        <w:tc>
          <w:tcPr>
            <w:tcW w:w="2131" w:type="dxa"/>
          </w:tcPr>
          <w:p w14:paraId="032A20BA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</w:tr>
      <w:tr w14:paraId="372A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28A9D9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2130" w:type="dxa"/>
          </w:tcPr>
          <w:p w14:paraId="16BA876E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待改进</w:t>
            </w:r>
          </w:p>
        </w:tc>
        <w:tc>
          <w:tcPr>
            <w:tcW w:w="2131" w:type="dxa"/>
          </w:tcPr>
          <w:p w14:paraId="4724680E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65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80</w:t>
            </w:r>
          </w:p>
        </w:tc>
        <w:tc>
          <w:tcPr>
            <w:tcW w:w="2131" w:type="dxa"/>
          </w:tcPr>
          <w:p w14:paraId="19A99C65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</w:t>
            </w:r>
          </w:p>
        </w:tc>
      </w:tr>
      <w:tr w14:paraId="4A44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DA11CB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2130" w:type="dxa"/>
          </w:tcPr>
          <w:p w14:paraId="2F171CB2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较差</w:t>
            </w:r>
          </w:p>
        </w:tc>
        <w:tc>
          <w:tcPr>
            <w:tcW w:w="2131" w:type="dxa"/>
          </w:tcPr>
          <w:p w14:paraId="714DF2AE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65</w:t>
            </w:r>
          </w:p>
        </w:tc>
        <w:tc>
          <w:tcPr>
            <w:tcW w:w="2131" w:type="dxa"/>
          </w:tcPr>
          <w:p w14:paraId="29399CEC">
            <w:pPr>
              <w:pStyle w:val="29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</w:tbl>
    <w:p w14:paraId="0A17EDDA">
      <w:pPr>
        <w:pStyle w:val="29"/>
        <w:bidi w:val="0"/>
        <w:rPr>
          <w:rFonts w:hint="eastAsia"/>
          <w:lang w:eastAsia="zh-CN"/>
        </w:rPr>
      </w:pPr>
      <w:r>
        <w:t>等级强制分布：S、A、B档合计占比不超过20%，E档占比不超过15%</w:t>
      </w:r>
      <w:r>
        <w:rPr>
          <w:rFonts w:hint="eastAsia"/>
          <w:lang w:eastAsia="zh-CN"/>
        </w:rPr>
        <w:t>。</w:t>
      </w:r>
    </w:p>
    <w:p w14:paraId="1A60AE2B">
      <w:pPr>
        <w:pStyle w:val="30"/>
        <w:bidi w:val="0"/>
        <w:rPr>
          <w:rFonts w:hint="eastAsia"/>
          <w:lang w:val="en-US" w:eastAsia="zh-CN"/>
        </w:rPr>
      </w:pPr>
      <w:bookmarkStart w:id="17" w:name="_Toc31934"/>
      <w:r>
        <w:rPr>
          <w:rFonts w:hint="eastAsia"/>
          <w:lang w:val="en-US" w:eastAsia="zh-CN"/>
        </w:rPr>
        <w:t>绩效工资核算</w:t>
      </w:r>
      <w:bookmarkEnd w:id="17"/>
    </w:p>
    <w:p w14:paraId="56BE916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员工月工资结构为：基本工资（70%）+ 绩效工资（30%）+ 工龄工资 + 交通补贴。</w:t>
      </w:r>
    </w:p>
    <w:p w14:paraId="4CBCEA1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实发绩效工资 = 绩效工资基数×对应绩效系数。</w:t>
      </w:r>
    </w:p>
    <w:p w14:paraId="374CF502">
      <w:pPr>
        <w:pStyle w:val="30"/>
        <w:bidi w:val="0"/>
        <w:rPr>
          <w:rFonts w:hint="eastAsia"/>
          <w:lang w:val="en-US" w:eastAsia="zh-CN"/>
        </w:rPr>
      </w:pPr>
      <w:bookmarkStart w:id="18" w:name="_Toc9243"/>
      <w:r>
        <w:rPr>
          <w:rFonts w:hint="eastAsia"/>
          <w:lang w:val="en-US" w:eastAsia="zh-CN"/>
        </w:rPr>
        <w:t>考核流程</w:t>
      </w:r>
      <w:bookmarkEnd w:id="18"/>
    </w:p>
    <w:p w14:paraId="5D87732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绩效计划与自评：每月26日起，员工填写《月度绩效考核表》，进行工作总结与自评，并提交下月工作计划。</w:t>
      </w:r>
    </w:p>
    <w:p w14:paraId="79C0BCE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上级评价与审核：直接主管进行评分，部门负责人综合平衡后完成最终核定。</w:t>
      </w:r>
    </w:p>
    <w:p w14:paraId="78AD80F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结果汇总与归档：每月28日前，各部门将考核表及汇总表统一提交至人力部。</w:t>
      </w:r>
    </w:p>
    <w:p w14:paraId="04DF9264">
      <w:pPr>
        <w:pStyle w:val="30"/>
        <w:bidi w:val="0"/>
        <w:rPr>
          <w:rFonts w:hint="eastAsia"/>
          <w:lang w:val="en-US" w:eastAsia="zh-CN"/>
        </w:rPr>
      </w:pPr>
      <w:bookmarkStart w:id="19" w:name="_Toc31249"/>
      <w:r>
        <w:rPr>
          <w:rFonts w:hint="eastAsia"/>
          <w:lang w:val="en-US" w:eastAsia="zh-CN"/>
        </w:rPr>
        <w:t>绩效面谈与改进</w:t>
      </w:r>
      <w:bookmarkEnd w:id="19"/>
    </w:p>
    <w:p w14:paraId="453426B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考核结束后，直接主管与员工进行绩效面谈共同填写《绩效考核面谈表》。</w:t>
      </w:r>
    </w:p>
    <w:p w14:paraId="5A4F4D5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对考核结果为S、A的员工，应提炼并推广其优秀经验。</w:t>
      </w:r>
    </w:p>
    <w:p w14:paraId="24AA822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对考核结果为D、E的员工，须制定并落实书面《绩效改进计划》。</w:t>
      </w:r>
    </w:p>
    <w:p w14:paraId="3B5708DF">
      <w:pPr>
        <w:pStyle w:val="30"/>
        <w:bidi w:val="0"/>
        <w:rPr>
          <w:rFonts w:hint="eastAsia"/>
          <w:lang w:val="en-US" w:eastAsia="zh-CN"/>
        </w:rPr>
      </w:pPr>
      <w:bookmarkStart w:id="20" w:name="_Toc9402"/>
      <w:r>
        <w:rPr>
          <w:rFonts w:hint="eastAsia"/>
          <w:lang w:val="en-US" w:eastAsia="zh-CN"/>
        </w:rPr>
        <w:t>考核结果应用</w:t>
      </w:r>
      <w:bookmarkEnd w:id="20"/>
    </w:p>
    <w:p w14:paraId="6FF611D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考核结果将应用于以下方面：</w:t>
      </w:r>
    </w:p>
    <w:p w14:paraId="5A761E3C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作为绩效工资发放、年度调薪、年终奖金核定、岗位晋升与异动的主要依据。</w:t>
      </w:r>
    </w:p>
    <w:p w14:paraId="40E2C22C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全年月度平均考核成绩达C档及以上者，方具备年度调薪资格。</w:t>
      </w:r>
    </w:p>
    <w:p w14:paraId="1A52982F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月度考核为E档者，扣发当月年终奖；全年累计两次及以上E档者，不享受年底双薪。</w:t>
      </w:r>
    </w:p>
    <w:p w14:paraId="1FCE7C81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连续两个月考核为E档者，公司将予以岗位调整、降薪或降职处理。</w:t>
      </w:r>
    </w:p>
    <w:p w14:paraId="49933942">
      <w:pPr>
        <w:pStyle w:val="30"/>
        <w:bidi w:val="0"/>
        <w:rPr>
          <w:rFonts w:hint="eastAsia"/>
          <w:lang w:val="en-US" w:eastAsia="zh-CN"/>
        </w:rPr>
      </w:pPr>
      <w:bookmarkStart w:id="21" w:name="_Toc11534"/>
      <w:r>
        <w:rPr>
          <w:rFonts w:hint="eastAsia"/>
          <w:lang w:val="en-US" w:eastAsia="zh-CN"/>
        </w:rPr>
        <w:t>绩效考核申诉</w:t>
      </w:r>
      <w:bookmarkEnd w:id="21"/>
    </w:p>
    <w:p w14:paraId="1E798B3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员工对考核结果有异议，可在结果反馈后3个工作日内向人力部提交书面申诉。</w:t>
      </w:r>
    </w:p>
    <w:p w14:paraId="68C2B74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人力部组织成立复核小组进行调查与裁定，申诉结果即为最终结论。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2" w:name="bookmark3"/>
      <w:bookmarkEnd w:id="22"/>
      <w:bookmarkStart w:id="23" w:name="_Toc17424"/>
      <w:bookmarkStart w:id="24" w:name="_Toc4436"/>
      <w:r>
        <w:rPr>
          <w:rStyle w:val="38"/>
          <w:rFonts w:hint="eastAsia" w:eastAsia="宋体"/>
          <w:lang w:val="en-US" w:eastAsia="zh-CN"/>
        </w:rPr>
        <w:t>附则</w:t>
      </w:r>
      <w:bookmarkEnd w:id="23"/>
      <w:bookmarkEnd w:id="24"/>
    </w:p>
    <w:p w14:paraId="282C941D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bookmark14"/>
      <w:bookmarkEnd w:id="25"/>
      <w:bookmarkStart w:id="26" w:name="_Toc27186"/>
      <w:r>
        <w:rPr>
          <w:rFonts w:hint="eastAsia"/>
          <w:lang w:val="en-US" w:eastAsia="zh-CN"/>
        </w:rPr>
        <w:t>附件</w:t>
      </w:r>
      <w:bookmarkEnd w:id="26"/>
    </w:p>
    <w:p w14:paraId="00BD5ECC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《技术支持人员绩效考核表》</w:t>
      </w:r>
    </w:p>
    <w:p w14:paraId="0580470F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《运维人员绩效考核表》</w:t>
      </w:r>
    </w:p>
    <w:p w14:paraId="3D579399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《绩效考核面谈表》</w:t>
      </w:r>
    </w:p>
    <w:p w14:paraId="76C29C59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《部门绩效考核汇总表》</w:t>
      </w:r>
    </w:p>
    <w:p w14:paraId="1C99E929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《绩效考核申诉表》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5693"/>
      <w:r>
        <w:rPr>
          <w:rFonts w:hint="eastAsia"/>
          <w:lang w:val="en-US" w:eastAsia="zh-CN"/>
        </w:rPr>
        <w:t>记录</w:t>
      </w:r>
      <w:bookmarkEnd w:id="27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YaHe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BA9395"/>
    <w:multiLevelType w:val="singleLevel"/>
    <w:tmpl w:val="B2BA93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FBE269"/>
    <w:multiLevelType w:val="singleLevel"/>
    <w:tmpl w:val="E3FBE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59BDD2D"/>
    <w:multiLevelType w:val="singleLevel"/>
    <w:tmpl w:val="359BDD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503864A"/>
    <w:multiLevelType w:val="singleLevel"/>
    <w:tmpl w:val="65038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7838E7"/>
    <w:rsid w:val="0104303E"/>
    <w:rsid w:val="01E07299"/>
    <w:rsid w:val="0211124F"/>
    <w:rsid w:val="029C58B6"/>
    <w:rsid w:val="02AB3D4B"/>
    <w:rsid w:val="02CE3596"/>
    <w:rsid w:val="02EA4873"/>
    <w:rsid w:val="03990047"/>
    <w:rsid w:val="040604A9"/>
    <w:rsid w:val="055C0D5B"/>
    <w:rsid w:val="05980692"/>
    <w:rsid w:val="05D830A9"/>
    <w:rsid w:val="061408D1"/>
    <w:rsid w:val="073D05DE"/>
    <w:rsid w:val="075D6643"/>
    <w:rsid w:val="07660A33"/>
    <w:rsid w:val="080D4B60"/>
    <w:rsid w:val="09975029"/>
    <w:rsid w:val="09D65B51"/>
    <w:rsid w:val="09F2400E"/>
    <w:rsid w:val="09FC6C3A"/>
    <w:rsid w:val="0CF12BAD"/>
    <w:rsid w:val="0DCB52A1"/>
    <w:rsid w:val="0E083E00"/>
    <w:rsid w:val="0E925DBF"/>
    <w:rsid w:val="0F4F57A4"/>
    <w:rsid w:val="0FD115EF"/>
    <w:rsid w:val="127C6B6A"/>
    <w:rsid w:val="12A82965"/>
    <w:rsid w:val="130628D8"/>
    <w:rsid w:val="131B2827"/>
    <w:rsid w:val="139879D4"/>
    <w:rsid w:val="13D604FC"/>
    <w:rsid w:val="142E02A8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7C3D68"/>
    <w:rsid w:val="18846779"/>
    <w:rsid w:val="18F465E3"/>
    <w:rsid w:val="19E020D4"/>
    <w:rsid w:val="19E33973"/>
    <w:rsid w:val="1A9923D9"/>
    <w:rsid w:val="1ADA4D76"/>
    <w:rsid w:val="1BC709D8"/>
    <w:rsid w:val="1D997E65"/>
    <w:rsid w:val="1E692834"/>
    <w:rsid w:val="1EFD1033"/>
    <w:rsid w:val="1FCB1131"/>
    <w:rsid w:val="20D91840"/>
    <w:rsid w:val="215C6FE4"/>
    <w:rsid w:val="219E4D4F"/>
    <w:rsid w:val="23A26E72"/>
    <w:rsid w:val="23CC24B1"/>
    <w:rsid w:val="23DD436C"/>
    <w:rsid w:val="23FD59BD"/>
    <w:rsid w:val="253B0B07"/>
    <w:rsid w:val="25B44364"/>
    <w:rsid w:val="26C427F2"/>
    <w:rsid w:val="27595274"/>
    <w:rsid w:val="2908648D"/>
    <w:rsid w:val="294F2DD3"/>
    <w:rsid w:val="2975663E"/>
    <w:rsid w:val="2A8B6C6D"/>
    <w:rsid w:val="2A9B1C34"/>
    <w:rsid w:val="2B4E123F"/>
    <w:rsid w:val="2B612949"/>
    <w:rsid w:val="2CB03B88"/>
    <w:rsid w:val="2D012F55"/>
    <w:rsid w:val="2DC21DC5"/>
    <w:rsid w:val="2E500F2E"/>
    <w:rsid w:val="2F041F69"/>
    <w:rsid w:val="2FC11C09"/>
    <w:rsid w:val="30D8545C"/>
    <w:rsid w:val="31DF2E38"/>
    <w:rsid w:val="333746BC"/>
    <w:rsid w:val="346C0F8D"/>
    <w:rsid w:val="34763909"/>
    <w:rsid w:val="350D601C"/>
    <w:rsid w:val="35DE67BA"/>
    <w:rsid w:val="35F04FF6"/>
    <w:rsid w:val="36392E40"/>
    <w:rsid w:val="364610BA"/>
    <w:rsid w:val="36883480"/>
    <w:rsid w:val="36914A2B"/>
    <w:rsid w:val="3699743B"/>
    <w:rsid w:val="375F2433"/>
    <w:rsid w:val="37971BCD"/>
    <w:rsid w:val="37DF17C6"/>
    <w:rsid w:val="37E666B0"/>
    <w:rsid w:val="3914549F"/>
    <w:rsid w:val="3C265C15"/>
    <w:rsid w:val="3D5F4115"/>
    <w:rsid w:val="3E287A22"/>
    <w:rsid w:val="3E5A3954"/>
    <w:rsid w:val="3EE01E9A"/>
    <w:rsid w:val="3F2D2E17"/>
    <w:rsid w:val="40646D0C"/>
    <w:rsid w:val="40776A3F"/>
    <w:rsid w:val="40873B7A"/>
    <w:rsid w:val="40B11D0C"/>
    <w:rsid w:val="41DA54D8"/>
    <w:rsid w:val="426164FC"/>
    <w:rsid w:val="43223C0F"/>
    <w:rsid w:val="4368266F"/>
    <w:rsid w:val="43996CCD"/>
    <w:rsid w:val="443D58AA"/>
    <w:rsid w:val="44E4041B"/>
    <w:rsid w:val="45800BDC"/>
    <w:rsid w:val="45EE5265"/>
    <w:rsid w:val="4614088C"/>
    <w:rsid w:val="46BF2EEE"/>
    <w:rsid w:val="46D149CF"/>
    <w:rsid w:val="472B0583"/>
    <w:rsid w:val="47BB1907"/>
    <w:rsid w:val="484F2050"/>
    <w:rsid w:val="486A0C38"/>
    <w:rsid w:val="48CE1CF6"/>
    <w:rsid w:val="48FA020D"/>
    <w:rsid w:val="49063FB4"/>
    <w:rsid w:val="49B33C44"/>
    <w:rsid w:val="49CC1B61"/>
    <w:rsid w:val="4A325785"/>
    <w:rsid w:val="4BFB76A0"/>
    <w:rsid w:val="4C2E4820"/>
    <w:rsid w:val="4D1711C1"/>
    <w:rsid w:val="4E0B149B"/>
    <w:rsid w:val="4F6F1974"/>
    <w:rsid w:val="503F29AA"/>
    <w:rsid w:val="509326B7"/>
    <w:rsid w:val="50BE0A71"/>
    <w:rsid w:val="50D852D8"/>
    <w:rsid w:val="50E023DF"/>
    <w:rsid w:val="511C5981"/>
    <w:rsid w:val="51F0261E"/>
    <w:rsid w:val="52B96A43"/>
    <w:rsid w:val="53726443"/>
    <w:rsid w:val="5486504B"/>
    <w:rsid w:val="54C67676"/>
    <w:rsid w:val="54CB7E3C"/>
    <w:rsid w:val="551F2960"/>
    <w:rsid w:val="55582B9B"/>
    <w:rsid w:val="5632548A"/>
    <w:rsid w:val="56717635"/>
    <w:rsid w:val="57464C52"/>
    <w:rsid w:val="58247055"/>
    <w:rsid w:val="58675193"/>
    <w:rsid w:val="5A6610C0"/>
    <w:rsid w:val="5AD52888"/>
    <w:rsid w:val="5B0B0058"/>
    <w:rsid w:val="5B2F38EB"/>
    <w:rsid w:val="5B85605C"/>
    <w:rsid w:val="5B865931"/>
    <w:rsid w:val="5BD3501A"/>
    <w:rsid w:val="5D0D6A04"/>
    <w:rsid w:val="5D2E6280"/>
    <w:rsid w:val="5D6677C8"/>
    <w:rsid w:val="5E6A32E8"/>
    <w:rsid w:val="5EFB71CC"/>
    <w:rsid w:val="5F5F0972"/>
    <w:rsid w:val="5F7F1015"/>
    <w:rsid w:val="613E7799"/>
    <w:rsid w:val="6200643D"/>
    <w:rsid w:val="62312EF8"/>
    <w:rsid w:val="62740BD9"/>
    <w:rsid w:val="62B65CE2"/>
    <w:rsid w:val="640721AA"/>
    <w:rsid w:val="64B40ABD"/>
    <w:rsid w:val="652A5B5F"/>
    <w:rsid w:val="657D5FF6"/>
    <w:rsid w:val="657F3B1C"/>
    <w:rsid w:val="659C092C"/>
    <w:rsid w:val="65C43C25"/>
    <w:rsid w:val="677F7E04"/>
    <w:rsid w:val="678C0773"/>
    <w:rsid w:val="68804644"/>
    <w:rsid w:val="698F3ABF"/>
    <w:rsid w:val="6AFD14CE"/>
    <w:rsid w:val="6BAD2A66"/>
    <w:rsid w:val="6BF30DC0"/>
    <w:rsid w:val="6CC83FFB"/>
    <w:rsid w:val="6D834437"/>
    <w:rsid w:val="6DB46CBB"/>
    <w:rsid w:val="6E6623CD"/>
    <w:rsid w:val="6F59718C"/>
    <w:rsid w:val="6F887A72"/>
    <w:rsid w:val="70C611A2"/>
    <w:rsid w:val="711772FF"/>
    <w:rsid w:val="713003C1"/>
    <w:rsid w:val="7141437C"/>
    <w:rsid w:val="73593BFF"/>
    <w:rsid w:val="73644352"/>
    <w:rsid w:val="73840550"/>
    <w:rsid w:val="73C7661F"/>
    <w:rsid w:val="759251A6"/>
    <w:rsid w:val="76960176"/>
    <w:rsid w:val="76EF63C2"/>
    <w:rsid w:val="76F6721A"/>
    <w:rsid w:val="776C1A27"/>
    <w:rsid w:val="783E1615"/>
    <w:rsid w:val="78CA2EA9"/>
    <w:rsid w:val="78D1021F"/>
    <w:rsid w:val="79A61220"/>
    <w:rsid w:val="7A1940E8"/>
    <w:rsid w:val="7A2F7467"/>
    <w:rsid w:val="7AAF67FA"/>
    <w:rsid w:val="7B4E6013"/>
    <w:rsid w:val="7B5C70B9"/>
    <w:rsid w:val="7C066719"/>
    <w:rsid w:val="7C434C07"/>
    <w:rsid w:val="7CB9686B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1591</Words>
  <Characters>1760</Characters>
  <Lines>0</Lines>
  <Paragraphs>0</Paragraphs>
  <TotalTime>0</TotalTime>
  <ScaleCrop>false</ScaleCrop>
  <LinksUpToDate>false</LinksUpToDate>
  <CharactersWithSpaces>1827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2025-10-18T20:06:25Z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