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9794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9233"/>
      <w:r>
        <w:rPr>
          <w:rFonts w:hint="eastAsia"/>
          <w:lang w:val="en-US" w:eastAsia="zh-CN"/>
        </w:rPr>
        <w:t>人员备份管理制度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87A26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_Toc9794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2F01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bookmarkStart w:id="27" w:name="_GoBack"/>
          <w:bookmarkEnd w:id="27"/>
          <w:r>
            <w:tab/>
          </w:r>
          <w:r>
            <w:fldChar w:fldCharType="begin"/>
          </w:r>
          <w:r>
            <w:instrText xml:space="preserve"> PAGEREF _Toc29233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481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_Toc12299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6556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_Toc8634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E58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_Toc23142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BD87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_Toc6376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169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_Toc11969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5B2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1.5. 人力部</w:t>
          </w:r>
          <w:r>
            <w:tab/>
          </w:r>
          <w:r>
            <w:fldChar w:fldCharType="begin"/>
          </w:r>
          <w:r>
            <w:instrText xml:space="preserve"> PAGEREF _Toc6220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E40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1.6. 各部门负责人</w:t>
          </w:r>
          <w:r>
            <w:tab/>
          </w:r>
          <w:r>
            <w:fldChar w:fldCharType="begin"/>
          </w:r>
          <w:r>
            <w:instrText xml:space="preserve"> PAGEREF _Toc15576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D23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DB5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_Toc17491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6066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C069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关键岗位</w:t>
          </w:r>
          <w:r>
            <w:tab/>
          </w:r>
          <w:r>
            <w:fldChar w:fldCharType="begin"/>
          </w:r>
          <w:r>
            <w:instrText xml:space="preserve"> PAGEREF _Toc25662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559A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备份人员</w:t>
          </w:r>
          <w:r>
            <w:tab/>
          </w:r>
          <w:r>
            <w:fldChar w:fldCharType="begin"/>
          </w:r>
          <w:r>
            <w:instrText xml:space="preserve"> PAGEREF _Toc9251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EFF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备份机制启动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CA06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257C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备份岗位的确定</w:t>
          </w:r>
          <w:r>
            <w:tab/>
          </w:r>
          <w:r>
            <w:fldChar w:fldCharType="begin"/>
          </w:r>
          <w:r>
            <w:instrText xml:space="preserve"> PAGEREF _Toc15077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7692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备份人员的确立</w:t>
          </w:r>
          <w:r>
            <w:tab/>
          </w:r>
          <w:r>
            <w:fldChar w:fldCharType="begin"/>
          </w:r>
          <w:r>
            <w:instrText xml:space="preserve"> PAGEREF _Toc2543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6C5C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备份关系的备案与公布</w:t>
          </w:r>
          <w:r>
            <w:tab/>
          </w:r>
          <w:r>
            <w:fldChar w:fldCharType="begin"/>
          </w:r>
          <w:r>
            <w:instrText xml:space="preserve"> PAGEREF _Toc20702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8C2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备份培训与知识管理</w:t>
          </w:r>
          <w:r>
            <w:tab/>
          </w:r>
          <w:r>
            <w:fldChar w:fldCharType="begin"/>
          </w:r>
          <w:r>
            <w:instrText xml:space="preserve"> PAGEREF _Toc19482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1BAD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备份机制的启动与执行</w:t>
          </w:r>
          <w:r>
            <w:tab/>
          </w:r>
          <w:r>
            <w:fldChar w:fldCharType="begin"/>
          </w:r>
          <w:r>
            <w:instrText xml:space="preserve"> PAGEREF _Toc26046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8221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F526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_Toc31804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F661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_Toc5190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2299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8634"/>
      <w:r>
        <w:rPr>
          <w:rFonts w:hint="eastAsia"/>
          <w:lang w:val="en-US" w:eastAsia="zh-CN"/>
        </w:rPr>
        <w:t>目的</w:t>
      </w:r>
      <w:bookmarkEnd w:id="3"/>
    </w:p>
    <w:p w14:paraId="411DF5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为降低因员工休假、离职或其他原因缺勤对业务连续性的影响，确保关键岗位工作的无缝衔接与正常运转，建立系统化的人员备份机制，提升组织整体抗风险能力，特制定本制度。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142"/>
      <w:r>
        <w:rPr>
          <w:rFonts w:hint="eastAsia"/>
          <w:lang w:val="en-US" w:eastAsia="zh-CN"/>
        </w:rPr>
        <w:t>适用范围</w:t>
      </w:r>
      <w:bookmarkEnd w:id="4"/>
    </w:p>
    <w:p w14:paraId="572D06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本制度适用于公司人力部、采购部、运维部、质量部所有岗位。各部门关键岗位必须设立备份人员。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376"/>
      <w:r>
        <w:rPr>
          <w:rFonts w:hint="eastAsia"/>
          <w:lang w:val="en-US" w:eastAsia="zh-CN"/>
        </w:rPr>
        <w:t>原则</w:t>
      </w:r>
      <w:bookmarkEnd w:id="5"/>
    </w:p>
    <w:p w14:paraId="22011C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业务延续原则：备份工作的核心目标是保障核心业务流程不中断、关键任务不延误。</w:t>
      </w:r>
    </w:p>
    <w:p w14:paraId="736DEE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能力匹配原则：备份人员应具备履行所备份岗位核心职责的基本知识与技能。</w:t>
      </w:r>
    </w:p>
    <w:p w14:paraId="709BC4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明确权责原则：明确备份关系与启动流程，确保备份机制启动时，双方权责清晰。</w:t>
      </w:r>
    </w:p>
    <w:p w14:paraId="7EE74A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动态调整原则：备份关系需随业务、岗位及人员变动进行定期评估与更新。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1969"/>
      <w:r>
        <w:rPr>
          <w:rFonts w:hint="eastAsia"/>
          <w:lang w:val="en-US" w:eastAsia="zh-CN"/>
        </w:rPr>
        <w:t>岗位职责</w:t>
      </w:r>
      <w:bookmarkEnd w:id="6"/>
    </w:p>
    <w:p w14:paraId="7EA5B1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220"/>
      <w:r>
        <w:rPr>
          <w:rFonts w:hint="default"/>
          <w:lang w:val="en-US" w:eastAsia="zh-CN"/>
        </w:rPr>
        <w:t>人力部</w:t>
      </w:r>
      <w:bookmarkEnd w:id="7"/>
    </w:p>
    <w:p w14:paraId="11912C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作为归口管理部门，负责本制度的制定、推行与维护；统筹备份关系备案，并监督执行情况。</w:t>
      </w:r>
    </w:p>
    <w:p w14:paraId="49BC85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5576"/>
      <w:r>
        <w:rPr>
          <w:rFonts w:hint="default"/>
          <w:lang w:val="en-US" w:eastAsia="zh-CN"/>
        </w:rPr>
        <w:t>各部门负责人</w:t>
      </w:r>
      <w:bookmarkEnd w:id="8"/>
    </w:p>
    <w:p w14:paraId="67E57F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作为本部门人员备份管理的第一责任人，负责提名、审核并确认本部门的岗位备份方案，组织部门内部的备份培训与知识传承。</w:t>
      </w:r>
    </w:p>
    <w:p w14:paraId="434C04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在岗员工：负责主动向备份人员传授关键业务知识、技能与工作流程。</w:t>
      </w:r>
    </w:p>
    <w:p w14:paraId="78F87F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备份人员：负责学习并掌握所备份岗位的核心工作，在备份机制启动时承担相应工作职责。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7499"/>
      <w:r>
        <w:rPr>
          <w:rFonts w:hint="eastAsia"/>
          <w:lang w:val="en-US" w:eastAsia="zh-CN"/>
        </w:rPr>
        <w:t>引用依据</w:t>
      </w:r>
      <w:bookmarkEnd w:id="9"/>
    </w:p>
    <w:p w14:paraId="54965E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 w14:paraId="48B839E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026ACB3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57DA97E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6D45C8B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5CA5178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公司《岗位说明书》</w:t>
      </w:r>
    </w:p>
    <w:p w14:paraId="57E4AC4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公司《员工工作交接管理制度》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17491"/>
      <w:r>
        <w:rPr>
          <w:rFonts w:hint="eastAsia"/>
          <w:lang w:val="en-US" w:eastAsia="zh-CN"/>
        </w:rPr>
        <w:t>定义与术语</w:t>
      </w:r>
      <w:bookmarkEnd w:id="10"/>
    </w:p>
    <w:p w14:paraId="473154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24341"/>
      <w:r>
        <w:rPr>
          <w:rFonts w:hint="eastAsia"/>
        </w:rPr>
        <w:t>人员备份</w:t>
      </w:r>
      <w:bookmarkEnd w:id="11"/>
    </w:p>
    <w:p w14:paraId="7CC3E6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指为关键岗位预先设定具备相应能力的替代人员，以确保在原岗位人员缺勤时，其核心职责能由他人临时承接的管理机制。</w:t>
      </w:r>
    </w:p>
    <w:p w14:paraId="0572FC9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5662"/>
      <w:r>
        <w:rPr>
          <w:rFonts w:hint="eastAsia"/>
        </w:rPr>
        <w:t>关键岗位</w:t>
      </w:r>
      <w:bookmarkEnd w:id="12"/>
    </w:p>
    <w:p w14:paraId="4EE37E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指其工作停顿将对部门或公司运营造成显著影响的岗位。</w:t>
      </w:r>
    </w:p>
    <w:p w14:paraId="42B3CF2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9251"/>
      <w:r>
        <w:rPr>
          <w:rFonts w:hint="eastAsia"/>
        </w:rPr>
        <w:t>备份人员</w:t>
      </w:r>
      <w:bookmarkEnd w:id="13"/>
    </w:p>
    <w:p w14:paraId="30FE40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指经指定，在备份机制启动时临时接替原岗位工作的员工。</w:t>
      </w:r>
    </w:p>
    <w:p w14:paraId="079FA3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8247"/>
      <w:r>
        <w:rPr>
          <w:rFonts w:hint="eastAsia"/>
        </w:rPr>
        <w:t>备份机制启动</w:t>
      </w:r>
      <w:bookmarkEnd w:id="14"/>
    </w:p>
    <w:p w14:paraId="0FFE9E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指当原岗位人员因预定计划（如休假）或突发情况（如急病）无法履职时，经审批后正式启动备份方案的流程。</w:t>
      </w:r>
    </w:p>
    <w:p w14:paraId="281C7D3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662"/>
      <w:r>
        <w:rPr>
          <w:rFonts w:hint="eastAsia"/>
          <w:lang w:val="en-US" w:eastAsia="zh-CN"/>
        </w:rPr>
        <w:t>管理内容与要求</w:t>
      </w:r>
      <w:bookmarkEnd w:id="15"/>
    </w:p>
    <w:p w14:paraId="2A3770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5077"/>
      <w:r>
        <w:rPr>
          <w:rFonts w:hint="default"/>
          <w:lang w:val="en-US" w:eastAsia="zh-CN"/>
        </w:rPr>
        <w:t>备份岗位的确定</w:t>
      </w:r>
      <w:bookmarkEnd w:id="16"/>
    </w:p>
    <w:p w14:paraId="1BD3EA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各部门负责人需根据岗位的业务影响度，识别并确定本部门内的关键岗位。原则上，所有部门经理岗位及核心业务执行岗位（如运维工程师）均应纳入备份管理范畴。</w:t>
      </w:r>
    </w:p>
    <w:p w14:paraId="08AB1B8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543"/>
      <w:r>
        <w:rPr>
          <w:rFonts w:hint="default"/>
          <w:lang w:val="en-US" w:eastAsia="zh-CN"/>
        </w:rPr>
        <w:t>备份人员的确立</w:t>
      </w:r>
      <w:bookmarkEnd w:id="17"/>
    </w:p>
    <w:p w14:paraId="4CAB7E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备份人员应遵循“同级备份、跨岗协作”或“上级备份下级”的原则进行指定，由部门负责人提名并确定。</w:t>
      </w:r>
    </w:p>
    <w:p w14:paraId="374BA0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每个关键岗位应至少指定一名主要备份人员和一名次要备份人员，以确保备份的可靠性。</w:t>
      </w:r>
    </w:p>
    <w:p w14:paraId="7FA9FC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备份关系应避免形成单向循环，并需充分考虑备份人员自身的工作负荷。</w:t>
      </w:r>
    </w:p>
    <w:p w14:paraId="6794987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0702"/>
      <w:r>
        <w:rPr>
          <w:rFonts w:hint="default"/>
          <w:lang w:val="en-US" w:eastAsia="zh-CN"/>
        </w:rPr>
        <w:t>备份关系的备案与公布</w:t>
      </w:r>
      <w:bookmarkEnd w:id="18"/>
    </w:p>
    <w:p w14:paraId="336AA3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各部门确定的备份关系需填写《关键岗位备份关系表》（附件一），报人力部审核备案。备份关系应在部门内部公布，确保相关人员知晓。</w:t>
      </w:r>
    </w:p>
    <w:p w14:paraId="0EEDE6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9482"/>
      <w:r>
        <w:rPr>
          <w:rFonts w:hint="default"/>
          <w:lang w:val="en-US" w:eastAsia="zh-CN"/>
        </w:rPr>
        <w:t>备份培训与知识管理</w:t>
      </w:r>
      <w:bookmarkEnd w:id="19"/>
    </w:p>
    <w:p w14:paraId="07D2D6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各部门负责人需制定并落实备份培训计划，确保备份人员掌握所备份岗位的核心工作流程、关键系统操作及紧急事务处理办法。</w:t>
      </w:r>
    </w:p>
    <w:p w14:paraId="0CD933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在岗员工应主动整理并更新《岗位工作指引》，作为备份人员学习与参考的关键文档。</w:t>
      </w:r>
    </w:p>
    <w:p w14:paraId="7297B3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6046"/>
      <w:r>
        <w:rPr>
          <w:rFonts w:hint="default"/>
          <w:lang w:val="en-US" w:eastAsia="zh-CN"/>
        </w:rPr>
        <w:t>备份机制的启动与执行</w:t>
      </w:r>
      <w:bookmarkEnd w:id="20"/>
    </w:p>
    <w:p w14:paraId="7E050D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计划内缺勤（如年假）：由缺勤员工提前通知备份人员及部门负责人，做好工作交接。</w:t>
      </w:r>
    </w:p>
    <w:p w14:paraId="43154E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突发性缺勤（如病假）：由部门负责人立即启动备份机制，通知备份人员接替工作。</w:t>
      </w:r>
    </w:p>
    <w:p w14:paraId="680ACD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备份期间，备份人员以履行原岗位核心职责为首要任务，其本职工作可适当调整优先级或由部门协调处理。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1" w:name="bookmark3"/>
      <w:bookmarkEnd w:id="21"/>
      <w:bookmarkStart w:id="22" w:name="_Toc17424"/>
      <w:bookmarkStart w:id="23" w:name="_Toc17530"/>
      <w:r>
        <w:rPr>
          <w:rStyle w:val="38"/>
          <w:rFonts w:hint="eastAsia" w:eastAsia="宋体"/>
          <w:lang w:val="en-US" w:eastAsia="zh-CN"/>
        </w:rPr>
        <w:t>附则</w:t>
      </w:r>
      <w:bookmarkEnd w:id="22"/>
      <w:bookmarkEnd w:id="23"/>
    </w:p>
    <w:p w14:paraId="282C941D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31804"/>
      <w:r>
        <w:rPr>
          <w:rFonts w:hint="eastAsia"/>
          <w:lang w:val="en-US" w:eastAsia="zh-CN"/>
        </w:rPr>
        <w:t>附件</w:t>
      </w:r>
      <w:bookmarkEnd w:id="25"/>
    </w:p>
    <w:p w14:paraId="1C32077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《关键岗位备份关系表》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5190"/>
      <w:r>
        <w:rPr>
          <w:rFonts w:hint="eastAsia"/>
          <w:lang w:val="en-US" w:eastAsia="zh-CN"/>
        </w:rPr>
        <w:t>记录</w:t>
      </w:r>
      <w:bookmarkEnd w:id="26"/>
    </w:p>
    <w:p w14:paraId="05F11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经审批的《关键岗位备份关系表》由人力部及各部门共同保存，随人员变动及时更新。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7342F"/>
    <w:multiLevelType w:val="singleLevel"/>
    <w:tmpl w:val="8E4734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CFE6AC"/>
    <w:multiLevelType w:val="singleLevel"/>
    <w:tmpl w:val="43CFE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3A13EF0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CF12BAD"/>
    <w:rsid w:val="0F4F57A4"/>
    <w:rsid w:val="0F784EFC"/>
    <w:rsid w:val="0FD115EF"/>
    <w:rsid w:val="127C6B6A"/>
    <w:rsid w:val="130628D8"/>
    <w:rsid w:val="131B2827"/>
    <w:rsid w:val="139879D4"/>
    <w:rsid w:val="13D604FC"/>
    <w:rsid w:val="14B42767"/>
    <w:rsid w:val="15C947BC"/>
    <w:rsid w:val="15CC7E09"/>
    <w:rsid w:val="15EC2259"/>
    <w:rsid w:val="16B0772A"/>
    <w:rsid w:val="170D06D9"/>
    <w:rsid w:val="17103D25"/>
    <w:rsid w:val="17710C68"/>
    <w:rsid w:val="17BE19D3"/>
    <w:rsid w:val="17DF25E3"/>
    <w:rsid w:val="185C1918"/>
    <w:rsid w:val="18846779"/>
    <w:rsid w:val="18F465E3"/>
    <w:rsid w:val="19061883"/>
    <w:rsid w:val="19E020D4"/>
    <w:rsid w:val="1A9923D9"/>
    <w:rsid w:val="1BC709D8"/>
    <w:rsid w:val="1D997E65"/>
    <w:rsid w:val="1DB1168D"/>
    <w:rsid w:val="1E692834"/>
    <w:rsid w:val="1EFD1033"/>
    <w:rsid w:val="1FCB1131"/>
    <w:rsid w:val="20D91840"/>
    <w:rsid w:val="215C6FE4"/>
    <w:rsid w:val="22460F43"/>
    <w:rsid w:val="23A26E72"/>
    <w:rsid w:val="23DD436C"/>
    <w:rsid w:val="23FD59BD"/>
    <w:rsid w:val="26C427F2"/>
    <w:rsid w:val="274F0899"/>
    <w:rsid w:val="2908648D"/>
    <w:rsid w:val="294F2DD3"/>
    <w:rsid w:val="2975663E"/>
    <w:rsid w:val="2A8B6C6D"/>
    <w:rsid w:val="2B612949"/>
    <w:rsid w:val="2C923702"/>
    <w:rsid w:val="2D656721"/>
    <w:rsid w:val="2E500F2E"/>
    <w:rsid w:val="2F041F69"/>
    <w:rsid w:val="2FC11C09"/>
    <w:rsid w:val="31853836"/>
    <w:rsid w:val="31B859B9"/>
    <w:rsid w:val="31CA5AFA"/>
    <w:rsid w:val="333746BC"/>
    <w:rsid w:val="33F34F82"/>
    <w:rsid w:val="346C0F8D"/>
    <w:rsid w:val="350D601C"/>
    <w:rsid w:val="354457B6"/>
    <w:rsid w:val="35BA3ED4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EE476E"/>
    <w:rsid w:val="4BFB76A0"/>
    <w:rsid w:val="4D1711C1"/>
    <w:rsid w:val="4DDA284D"/>
    <w:rsid w:val="4E0B149B"/>
    <w:rsid w:val="4F6F1974"/>
    <w:rsid w:val="503F29AA"/>
    <w:rsid w:val="50BA7B08"/>
    <w:rsid w:val="50BE0A71"/>
    <w:rsid w:val="511C5981"/>
    <w:rsid w:val="51F0261E"/>
    <w:rsid w:val="5486504B"/>
    <w:rsid w:val="54CB7E3C"/>
    <w:rsid w:val="5562683E"/>
    <w:rsid w:val="557A0143"/>
    <w:rsid w:val="5632548A"/>
    <w:rsid w:val="58675193"/>
    <w:rsid w:val="5A6610C0"/>
    <w:rsid w:val="5B0B0058"/>
    <w:rsid w:val="5B85605C"/>
    <w:rsid w:val="5BA364E3"/>
    <w:rsid w:val="5C9A02E0"/>
    <w:rsid w:val="5D0D6A04"/>
    <w:rsid w:val="5D2E6280"/>
    <w:rsid w:val="5D6677C8"/>
    <w:rsid w:val="5E6A32E8"/>
    <w:rsid w:val="5EFB71CC"/>
    <w:rsid w:val="5F7F1015"/>
    <w:rsid w:val="6118527D"/>
    <w:rsid w:val="613E7799"/>
    <w:rsid w:val="6200643D"/>
    <w:rsid w:val="62312EF8"/>
    <w:rsid w:val="640721AA"/>
    <w:rsid w:val="652A5B5F"/>
    <w:rsid w:val="657F3B1C"/>
    <w:rsid w:val="659C092C"/>
    <w:rsid w:val="65C43C25"/>
    <w:rsid w:val="66DB2FD4"/>
    <w:rsid w:val="678C0773"/>
    <w:rsid w:val="68804644"/>
    <w:rsid w:val="698F3ABF"/>
    <w:rsid w:val="6BAD2A66"/>
    <w:rsid w:val="6BF30DC0"/>
    <w:rsid w:val="6BFB3C2F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5B82733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</Words>
  <Characters>305</Characters>
  <Lines>0</Lines>
  <Paragraphs>0</Paragraphs>
  <TotalTime>0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2025-10-18T20:47:12Z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