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A6FA79">
      <w:pPr>
        <w:pStyle w:val="24"/>
        <w:keepNext w:val="0"/>
        <w:keepLines w:val="0"/>
        <w:pageBreakBefore w:val="0"/>
        <w:widowControl w:val="0"/>
        <w:kinsoku w:val="0"/>
        <w:wordWrap/>
        <w:overflowPunct/>
        <w:topLinePunct w:val="0"/>
        <w:autoSpaceDE w:val="0"/>
        <w:autoSpaceDN w:val="0"/>
        <w:bidi w:val="0"/>
        <w:adjustRightInd w:val="0"/>
        <w:snapToGrid w:val="0"/>
        <w:spacing w:before="3121" w:beforeLines="1000"/>
        <w:textAlignment w:val="baseline"/>
      </w:pPr>
      <w:bookmarkStart w:id="0" w:name="_Toc260"/>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7">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阿克苏智汇人才服务有限</w:t>
      </w:r>
      <w:r>
        <w:t>公司</w:t>
      </w:r>
      <w:bookmarkEnd w:id="0"/>
    </w:p>
    <w:p w14:paraId="1CA859AD">
      <w:pPr>
        <w:pStyle w:val="25"/>
        <w:keepNext w:val="0"/>
        <w:keepLines w:val="0"/>
        <w:pageBreakBefore w:val="0"/>
        <w:widowControl w:val="0"/>
        <w:kinsoku w:val="0"/>
        <w:wordWrap/>
        <w:overflowPunct/>
        <w:topLinePunct w:val="0"/>
        <w:autoSpaceDE w:val="0"/>
        <w:autoSpaceDN w:val="0"/>
        <w:bidi w:val="0"/>
        <w:adjustRightInd w:val="0"/>
        <w:snapToGrid w:val="0"/>
        <w:spacing w:before="0" w:after="625" w:afterLines="200"/>
        <w:textAlignment w:val="baseline"/>
        <w:rPr>
          <w:rFonts w:hint="eastAsia"/>
          <w:lang w:val="en-US" w:eastAsia="zh-CN"/>
        </w:rPr>
      </w:pPr>
      <w:bookmarkStart w:id="1" w:name="_Toc27520"/>
      <w:r>
        <w:rPr>
          <w:rFonts w:hint="eastAsia"/>
          <w:lang w:val="en-US" w:eastAsia="zh-CN"/>
        </w:rPr>
        <w:t>过程框架管理制度</w:t>
      </w:r>
      <w:bookmarkEnd w:id="1"/>
    </w:p>
    <w:p w14:paraId="5C99E7F3">
      <w:pPr>
        <w:keepNext w:val="0"/>
        <w:keepLines w:val="0"/>
        <w:pageBreakBefore w:val="0"/>
        <w:widowControl w:val="0"/>
        <w:kinsoku w:val="0"/>
        <w:wordWrap/>
        <w:overflowPunct/>
        <w:topLinePunct w:val="0"/>
        <w:autoSpaceDE w:val="0"/>
        <w:autoSpaceDN w:val="0"/>
        <w:bidi w:val="0"/>
        <w:adjustRightInd w:val="0"/>
        <w:snapToGrid w:val="0"/>
        <w:spacing w:after="625"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ZHRC</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6</w:t>
      </w:r>
      <w:r>
        <w:rPr>
          <w:rFonts w:ascii="宋体" w:hAnsi="宋体" w:eastAsia="宋体" w:cs="宋体"/>
          <w:b/>
          <w:bCs/>
          <w:spacing w:val="-3"/>
          <w:sz w:val="24"/>
          <w:szCs w:val="24"/>
        </w:rPr>
        <w:t>-01</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42161A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47F44E04">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运维部</w:t>
            </w:r>
          </w:p>
        </w:tc>
        <w:tc>
          <w:tcPr>
            <w:tcW w:w="2708" w:type="dxa"/>
          </w:tcPr>
          <w:p w14:paraId="527A6876">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2025.04.10</w:t>
            </w:r>
          </w:p>
        </w:tc>
      </w:tr>
      <w:tr w14:paraId="5E0463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2740D4D4">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fitText w:val="840" w:id="1984234543"/>
                <w:vertAlign w:val="baseline"/>
                <w:lang w:val="en-US" w:eastAsia="zh-CN"/>
              </w:rPr>
              <w:t>版</w:t>
            </w:r>
            <w:r>
              <w:rPr>
                <w:rFonts w:hint="eastAsia"/>
                <w:spacing w:val="0"/>
                <w:kern w:val="0"/>
                <w:fitText w:val="840" w:id="1984234543"/>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fitText w:val="630" w:id="1331981115"/>
                <w:vertAlign w:val="baseline"/>
                <w:lang w:val="en-US" w:eastAsia="zh-CN"/>
              </w:rPr>
              <w:t>V1.</w:t>
            </w:r>
            <w:r>
              <w:rPr>
                <w:rFonts w:hint="eastAsia"/>
                <w:spacing w:val="0"/>
                <w:kern w:val="0"/>
                <w:u w:val="single"/>
                <w:fitText w:val="630" w:id="1331981115"/>
                <w:vertAlign w:val="baseline"/>
                <w:lang w:val="en-US" w:eastAsia="zh-CN"/>
              </w:rPr>
              <w:t>0</w:t>
            </w:r>
          </w:p>
        </w:tc>
        <w:tc>
          <w:tcPr>
            <w:tcW w:w="2708" w:type="dxa"/>
            <w:shd w:val="clear" w:color="auto" w:fill="auto"/>
          </w:tcPr>
          <w:p w14:paraId="36398C7E">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2025.04.10</w:t>
            </w:r>
          </w:p>
        </w:tc>
      </w:tr>
      <w:tr w14:paraId="40129E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5A927578">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fitText w:val="840" w:id="722747876"/>
                <w:vertAlign w:val="baseline"/>
                <w:lang w:val="en-US" w:eastAsia="zh-CN"/>
              </w:rPr>
              <w:t>批准</w:t>
            </w:r>
            <w:r>
              <w:rPr>
                <w:rFonts w:hint="eastAsia"/>
                <w:spacing w:val="1"/>
                <w:kern w:val="0"/>
                <w:fitText w:val="840" w:id="722747876"/>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asciiTheme="minorAscii" w:hAnsiTheme="minorAscii" w:eastAsiaTheme="minorEastAsia"/>
                <w:spacing w:val="105"/>
                <w:kern w:val="0"/>
                <w:sz w:val="21"/>
                <w:u w:val="single"/>
                <w:fitText w:val="630" w:id="676873217"/>
                <w:vertAlign w:val="baseline"/>
                <w:lang w:val="en-US" w:eastAsia="zh-CN"/>
              </w:rPr>
              <w:t>任</w:t>
            </w:r>
            <w:r>
              <w:rPr>
                <w:rFonts w:hint="eastAsia" w:asciiTheme="minorAscii" w:hAnsiTheme="minorAscii" w:eastAsiaTheme="minorEastAsia"/>
                <w:spacing w:val="0"/>
                <w:kern w:val="0"/>
                <w:sz w:val="21"/>
                <w:u w:val="single"/>
                <w:fitText w:val="630" w:id="676873217"/>
                <w:vertAlign w:val="baseline"/>
                <w:lang w:val="en-US" w:eastAsia="zh-CN"/>
              </w:rPr>
              <w:t>鸿</w:t>
            </w:r>
          </w:p>
        </w:tc>
        <w:tc>
          <w:tcPr>
            <w:tcW w:w="2708" w:type="dxa"/>
          </w:tcPr>
          <w:p w14:paraId="370F750B">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2025.04.10</w:t>
            </w:r>
          </w:p>
        </w:tc>
      </w:tr>
    </w:tbl>
    <w:p w14:paraId="1DEAC454">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36153578">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71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89"/>
        <w:gridCol w:w="919"/>
        <w:gridCol w:w="2289"/>
        <w:gridCol w:w="1240"/>
      </w:tblGrid>
      <w:tr w14:paraId="6544A0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2689" w:type="dxa"/>
          </w:tcPr>
          <w:p w14:paraId="4FB3B2CA">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778067E3">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4D1CA809">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240" w:type="dxa"/>
          </w:tcPr>
          <w:p w14:paraId="5C6967C0">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631C0F8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2689" w:type="dxa"/>
          </w:tcPr>
          <w:p w14:paraId="2EE12DAC">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2025.0</w:t>
            </w:r>
            <w:r>
              <w:rPr>
                <w:rFonts w:hint="eastAsia" w:ascii="宋体" w:hAnsi="宋体" w:cs="宋体"/>
                <w:spacing w:val="3"/>
                <w:position w:val="1"/>
                <w:sz w:val="20"/>
                <w:szCs w:val="20"/>
                <w:lang w:val="en-US" w:eastAsia="zh-CN"/>
              </w:rPr>
              <w:t>4</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10</w:t>
            </w:r>
          </w:p>
        </w:tc>
        <w:tc>
          <w:tcPr>
            <w:tcW w:w="919" w:type="dxa"/>
          </w:tcPr>
          <w:p w14:paraId="10AEB2A2">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2292F328">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新建</w:t>
            </w:r>
          </w:p>
        </w:tc>
        <w:tc>
          <w:tcPr>
            <w:tcW w:w="1240" w:type="dxa"/>
          </w:tcPr>
          <w:p w14:paraId="43AD9579">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105"/>
                <w:kern w:val="0"/>
                <w:sz w:val="21"/>
                <w:fitText w:val="630" w:id="676873217"/>
                <w:vertAlign w:val="baseline"/>
                <w:lang w:val="en-US" w:eastAsia="zh-CN"/>
              </w:rPr>
              <w:t>任</w:t>
            </w:r>
            <w:r>
              <w:rPr>
                <w:rFonts w:hint="eastAsia" w:asciiTheme="minorAscii" w:hAnsiTheme="minorAscii" w:eastAsiaTheme="minorEastAsia"/>
                <w:spacing w:val="0"/>
                <w:kern w:val="0"/>
                <w:sz w:val="21"/>
                <w:fitText w:val="630" w:id="676873217"/>
                <w:vertAlign w:val="baseline"/>
                <w:lang w:val="en-US" w:eastAsia="zh-CN"/>
              </w:rPr>
              <w:t>鸿</w:t>
            </w:r>
          </w:p>
        </w:tc>
      </w:tr>
      <w:tr w14:paraId="6E2096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05F4A44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2146625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2B88D56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2F14922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55B855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3A84474B">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58C703F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4970AE5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0C73CE0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7F7C35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557" w:hRule="atLeast"/>
          <w:jc w:val="center"/>
        </w:trPr>
        <w:tc>
          <w:tcPr>
            <w:tcW w:w="2689" w:type="dxa"/>
          </w:tcPr>
          <w:p w14:paraId="750A30C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67969F4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64D59CB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2677625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38E27D40">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36A6F98F">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4ABEBB57">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_Toc260 </w:instrText>
          </w:r>
          <w:r>
            <w:rPr>
              <w:rFonts w:hint="eastAsia" w:ascii="宋体" w:hAnsi="宋体" w:eastAsia="宋体" w:cs="宋体"/>
              <w:szCs w:val="24"/>
            </w:rPr>
            <w:fldChar w:fldCharType="separate"/>
          </w:r>
          <w:r>
            <w:rPr>
              <w:rFonts w:hint="eastAsia"/>
              <w:lang w:val="en-US" w:eastAsia="zh-CN"/>
            </w:rPr>
            <w:t>阿克苏智汇人才服务有限</w:t>
          </w:r>
          <w:r>
            <w:t>公司</w:t>
          </w:r>
          <w:r>
            <w:tab/>
          </w:r>
          <w:r>
            <w:fldChar w:fldCharType="begin"/>
          </w:r>
          <w:r>
            <w:instrText xml:space="preserve"> PAGEREF _Toc260 \h </w:instrText>
          </w:r>
          <w:r>
            <w:fldChar w:fldCharType="separate"/>
          </w:r>
          <w:r>
            <w:t>1</w:t>
          </w:r>
          <w:r>
            <w:fldChar w:fldCharType="end"/>
          </w:r>
          <w:r>
            <w:rPr>
              <w:rFonts w:hint="eastAsia" w:ascii="宋体" w:hAnsi="宋体" w:eastAsia="宋体" w:cs="宋体"/>
              <w:szCs w:val="24"/>
            </w:rPr>
            <w:fldChar w:fldCharType="end"/>
          </w:r>
        </w:p>
        <w:p w14:paraId="4CE182B2">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_Toc27520 </w:instrText>
          </w:r>
          <w:r>
            <w:rPr>
              <w:rFonts w:hint="eastAsia" w:ascii="宋体" w:hAnsi="宋体" w:eastAsia="宋体" w:cs="宋体"/>
              <w:szCs w:val="24"/>
            </w:rPr>
            <w:fldChar w:fldCharType="separate"/>
          </w:r>
          <w:r>
            <w:rPr>
              <w:rFonts w:hint="eastAsia"/>
              <w:lang w:val="en-US" w:eastAsia="zh-CN"/>
            </w:rPr>
            <w:t>人员工作交接管理制度</w:t>
          </w:r>
          <w:r>
            <w:tab/>
          </w:r>
          <w:r>
            <w:fldChar w:fldCharType="begin"/>
          </w:r>
          <w:r>
            <w:instrText xml:space="preserve"> PAGEREF _Toc27520 \h </w:instrText>
          </w:r>
          <w:r>
            <w:fldChar w:fldCharType="separate"/>
          </w:r>
          <w:r>
            <w:t>1</w:t>
          </w:r>
          <w:r>
            <w:fldChar w:fldCharType="end"/>
          </w:r>
          <w:r>
            <w:rPr>
              <w:rFonts w:hint="eastAsia" w:ascii="宋体" w:hAnsi="宋体" w:eastAsia="宋体" w:cs="宋体"/>
              <w:szCs w:val="24"/>
            </w:rPr>
            <w:fldChar w:fldCharType="end"/>
          </w:r>
        </w:p>
        <w:p w14:paraId="782C915D">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_Toc1824 </w:instrText>
          </w:r>
          <w:r>
            <w:rPr>
              <w:rFonts w:hint="eastAsia" w:ascii="宋体" w:hAnsi="宋体" w:eastAsia="宋体" w:cs="宋体"/>
              <w:szCs w:val="24"/>
            </w:rPr>
            <w:fldChar w:fldCharType="separate"/>
          </w:r>
          <w:r>
            <w:rPr>
              <w:rFonts w:hint="default"/>
            </w:rPr>
            <w:t xml:space="preserve">1. </w:t>
          </w:r>
          <w:r>
            <w:rPr>
              <w:rFonts w:hint="eastAsia"/>
              <w:lang w:val="en-US" w:eastAsia="zh-CN"/>
            </w:rPr>
            <w:t>总则</w:t>
          </w:r>
          <w:r>
            <w:tab/>
          </w:r>
          <w:r>
            <w:fldChar w:fldCharType="begin"/>
          </w:r>
          <w:r>
            <w:instrText xml:space="preserve"> PAGEREF _Toc1824 \h </w:instrText>
          </w:r>
          <w:r>
            <w:fldChar w:fldCharType="separate"/>
          </w:r>
          <w:r>
            <w:t>4</w:t>
          </w:r>
          <w:r>
            <w:fldChar w:fldCharType="end"/>
          </w:r>
          <w:r>
            <w:rPr>
              <w:rFonts w:hint="eastAsia" w:ascii="宋体" w:hAnsi="宋体" w:eastAsia="宋体" w:cs="宋体"/>
              <w:szCs w:val="24"/>
            </w:rPr>
            <w:fldChar w:fldCharType="end"/>
          </w:r>
        </w:p>
        <w:p w14:paraId="379FBFB8">
          <w:pPr>
            <w:pStyle w:val="17"/>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_Toc13369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_Toc13369 \h </w:instrText>
          </w:r>
          <w:r>
            <w:fldChar w:fldCharType="separate"/>
          </w:r>
          <w:r>
            <w:t>4</w:t>
          </w:r>
          <w:r>
            <w:fldChar w:fldCharType="end"/>
          </w:r>
          <w:r>
            <w:rPr>
              <w:rFonts w:hint="eastAsia" w:ascii="宋体" w:hAnsi="宋体" w:eastAsia="宋体" w:cs="宋体"/>
              <w:szCs w:val="24"/>
            </w:rPr>
            <w:fldChar w:fldCharType="end"/>
          </w:r>
        </w:p>
        <w:p w14:paraId="03BA5005">
          <w:pPr>
            <w:pStyle w:val="17"/>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_Toc14707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_Toc14707 \h </w:instrText>
          </w:r>
          <w:r>
            <w:fldChar w:fldCharType="separate"/>
          </w:r>
          <w:r>
            <w:t>4</w:t>
          </w:r>
          <w:r>
            <w:fldChar w:fldCharType="end"/>
          </w:r>
          <w:r>
            <w:rPr>
              <w:rFonts w:hint="eastAsia" w:ascii="宋体" w:hAnsi="宋体" w:eastAsia="宋体" w:cs="宋体"/>
              <w:szCs w:val="24"/>
            </w:rPr>
            <w:fldChar w:fldCharType="end"/>
          </w:r>
        </w:p>
        <w:p w14:paraId="22E4BBA8">
          <w:pPr>
            <w:pStyle w:val="17"/>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_Toc7905 </w:instrText>
          </w:r>
          <w:r>
            <w:rPr>
              <w:rFonts w:hint="eastAsia" w:ascii="宋体" w:hAnsi="宋体" w:eastAsia="宋体" w:cs="宋体"/>
              <w:szCs w:val="24"/>
            </w:rPr>
            <w:fldChar w:fldCharType="separate"/>
          </w:r>
          <w:r>
            <w:rPr>
              <w:rFonts w:hint="default"/>
              <w:lang w:val="en-US" w:eastAsia="zh-CN"/>
            </w:rPr>
            <w:t xml:space="preserve">1.3. </w:t>
          </w:r>
          <w:r>
            <w:rPr>
              <w:rFonts w:hint="eastAsia"/>
              <w:lang w:val="en-US" w:eastAsia="zh-CN"/>
            </w:rPr>
            <w:t>原则</w:t>
          </w:r>
          <w:r>
            <w:tab/>
          </w:r>
          <w:r>
            <w:fldChar w:fldCharType="begin"/>
          </w:r>
          <w:r>
            <w:instrText xml:space="preserve"> PAGEREF _Toc7905 \h </w:instrText>
          </w:r>
          <w:r>
            <w:fldChar w:fldCharType="separate"/>
          </w:r>
          <w:r>
            <w:t>4</w:t>
          </w:r>
          <w:r>
            <w:fldChar w:fldCharType="end"/>
          </w:r>
          <w:r>
            <w:rPr>
              <w:rFonts w:hint="eastAsia" w:ascii="宋体" w:hAnsi="宋体" w:eastAsia="宋体" w:cs="宋体"/>
              <w:szCs w:val="24"/>
            </w:rPr>
            <w:fldChar w:fldCharType="end"/>
          </w:r>
        </w:p>
        <w:p w14:paraId="262DE691">
          <w:pPr>
            <w:pStyle w:val="17"/>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_Toc32565 </w:instrText>
          </w:r>
          <w:r>
            <w:rPr>
              <w:rFonts w:hint="eastAsia" w:ascii="宋体" w:hAnsi="宋体" w:eastAsia="宋体" w:cs="宋体"/>
              <w:szCs w:val="24"/>
            </w:rPr>
            <w:fldChar w:fldCharType="separate"/>
          </w:r>
          <w:r>
            <w:rPr>
              <w:rFonts w:hint="default"/>
              <w:lang w:val="en-US" w:eastAsia="zh-CN"/>
            </w:rPr>
            <w:t xml:space="preserve">1.4. </w:t>
          </w:r>
          <w:r>
            <w:rPr>
              <w:rFonts w:hint="eastAsia"/>
              <w:lang w:val="en-US" w:eastAsia="zh-CN"/>
            </w:rPr>
            <w:t>岗位职责</w:t>
          </w:r>
          <w:r>
            <w:tab/>
          </w:r>
          <w:r>
            <w:fldChar w:fldCharType="begin"/>
          </w:r>
          <w:r>
            <w:instrText xml:space="preserve"> PAGEREF _Toc32565 \h </w:instrText>
          </w:r>
          <w:r>
            <w:fldChar w:fldCharType="separate"/>
          </w:r>
          <w:r>
            <w:t>4</w:t>
          </w:r>
          <w:r>
            <w:fldChar w:fldCharType="end"/>
          </w:r>
          <w:r>
            <w:rPr>
              <w:rFonts w:hint="eastAsia" w:ascii="宋体" w:hAnsi="宋体" w:eastAsia="宋体" w:cs="宋体"/>
              <w:szCs w:val="24"/>
            </w:rPr>
            <w:fldChar w:fldCharType="end"/>
          </w:r>
        </w:p>
        <w:p w14:paraId="587E0AE4">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_Toc7310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引用依据</w:t>
          </w:r>
          <w:r>
            <w:tab/>
          </w:r>
          <w:r>
            <w:fldChar w:fldCharType="begin"/>
          </w:r>
          <w:r>
            <w:instrText xml:space="preserve"> PAGEREF _Toc7310 \h </w:instrText>
          </w:r>
          <w:r>
            <w:fldChar w:fldCharType="separate"/>
          </w:r>
          <w:r>
            <w:t>4</w:t>
          </w:r>
          <w:r>
            <w:fldChar w:fldCharType="end"/>
          </w:r>
          <w:r>
            <w:rPr>
              <w:rFonts w:hint="eastAsia" w:ascii="宋体" w:hAnsi="宋体" w:eastAsia="宋体" w:cs="宋体"/>
              <w:szCs w:val="24"/>
            </w:rPr>
            <w:fldChar w:fldCharType="end"/>
          </w:r>
        </w:p>
        <w:p w14:paraId="4ADE403E">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_Toc30963 </w:instrText>
          </w:r>
          <w:r>
            <w:rPr>
              <w:rFonts w:hint="eastAsia" w:ascii="宋体" w:hAnsi="宋体" w:eastAsia="宋体" w:cs="宋体"/>
              <w:szCs w:val="24"/>
            </w:rPr>
            <w:fldChar w:fldCharType="separate"/>
          </w:r>
          <w:r>
            <w:rPr>
              <w:rFonts w:hint="default"/>
            </w:rPr>
            <w:t xml:space="preserve">3. </w:t>
          </w:r>
          <w:r>
            <w:rPr>
              <w:rFonts w:hint="eastAsia"/>
              <w:lang w:val="en-US" w:eastAsia="zh-CN"/>
            </w:rPr>
            <w:t>定义与术语</w:t>
          </w:r>
          <w:r>
            <w:tab/>
          </w:r>
          <w:r>
            <w:fldChar w:fldCharType="begin"/>
          </w:r>
          <w:r>
            <w:instrText xml:space="preserve"> PAGEREF _Toc30963 \h </w:instrText>
          </w:r>
          <w:r>
            <w:fldChar w:fldCharType="separate"/>
          </w:r>
          <w:r>
            <w:t>4</w:t>
          </w:r>
          <w:r>
            <w:fldChar w:fldCharType="end"/>
          </w:r>
          <w:r>
            <w:rPr>
              <w:rFonts w:hint="eastAsia" w:ascii="宋体" w:hAnsi="宋体" w:eastAsia="宋体" w:cs="宋体"/>
              <w:szCs w:val="24"/>
            </w:rPr>
            <w:fldChar w:fldCharType="end"/>
          </w:r>
        </w:p>
        <w:p w14:paraId="406B10D3">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_Toc14370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管理内容与要求</w:t>
          </w:r>
          <w:r>
            <w:tab/>
          </w:r>
          <w:r>
            <w:fldChar w:fldCharType="begin"/>
          </w:r>
          <w:r>
            <w:instrText xml:space="preserve"> PAGEREF _Toc14370 \h </w:instrText>
          </w:r>
          <w:r>
            <w:fldChar w:fldCharType="separate"/>
          </w:r>
          <w:r>
            <w:t>4</w:t>
          </w:r>
          <w:r>
            <w:fldChar w:fldCharType="end"/>
          </w:r>
          <w:r>
            <w:rPr>
              <w:rFonts w:hint="eastAsia" w:ascii="宋体" w:hAnsi="宋体" w:eastAsia="宋体" w:cs="宋体"/>
              <w:szCs w:val="24"/>
            </w:rPr>
            <w:fldChar w:fldCharType="end"/>
          </w:r>
        </w:p>
        <w:p w14:paraId="6559700C">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_Toc26732 </w:instrText>
          </w:r>
          <w:r>
            <w:rPr>
              <w:rFonts w:hint="eastAsia" w:ascii="宋体" w:hAnsi="宋体" w:eastAsia="宋体" w:cs="宋体"/>
              <w:szCs w:val="24"/>
            </w:rPr>
            <w:fldChar w:fldCharType="separate"/>
          </w:r>
          <w:r>
            <w:rPr>
              <w:rFonts w:hint="default" w:eastAsia="宋体"/>
              <w:lang w:val="en-US" w:eastAsia="zh-CN"/>
            </w:rPr>
            <w:t xml:space="preserve">5. </w:t>
          </w:r>
          <w:r>
            <w:rPr>
              <w:rFonts w:hint="eastAsia" w:eastAsia="宋体"/>
              <w:lang w:val="en-US" w:eastAsia="zh-CN"/>
            </w:rPr>
            <w:t>附则</w:t>
          </w:r>
          <w:r>
            <w:tab/>
          </w:r>
          <w:r>
            <w:fldChar w:fldCharType="begin"/>
          </w:r>
          <w:r>
            <w:instrText xml:space="preserve"> PAGEREF _Toc26732 \h </w:instrText>
          </w:r>
          <w:r>
            <w:fldChar w:fldCharType="separate"/>
          </w:r>
          <w:r>
            <w:t>4</w:t>
          </w:r>
          <w:r>
            <w:fldChar w:fldCharType="end"/>
          </w:r>
          <w:r>
            <w:rPr>
              <w:rFonts w:hint="eastAsia" w:ascii="宋体" w:hAnsi="宋体" w:eastAsia="宋体" w:cs="宋体"/>
              <w:szCs w:val="24"/>
            </w:rPr>
            <w:fldChar w:fldCharType="end"/>
          </w:r>
        </w:p>
        <w:p w14:paraId="78EBAF05">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_Toc3387 </w:instrText>
          </w:r>
          <w:r>
            <w:rPr>
              <w:rFonts w:hint="eastAsia" w:ascii="宋体" w:hAnsi="宋体" w:eastAsia="宋体" w:cs="宋体"/>
              <w:szCs w:val="24"/>
            </w:rPr>
            <w:fldChar w:fldCharType="separate"/>
          </w:r>
          <w:r>
            <w:rPr>
              <w:rFonts w:hint="default"/>
              <w:lang w:val="en-US" w:eastAsia="zh-CN"/>
            </w:rPr>
            <w:t xml:space="preserve">6. </w:t>
          </w:r>
          <w:r>
            <w:rPr>
              <w:rFonts w:hint="eastAsia"/>
              <w:lang w:val="en-US" w:eastAsia="zh-CN"/>
            </w:rPr>
            <w:t>附件</w:t>
          </w:r>
          <w:r>
            <w:tab/>
          </w:r>
          <w:r>
            <w:fldChar w:fldCharType="begin"/>
          </w:r>
          <w:r>
            <w:instrText xml:space="preserve"> PAGEREF _Toc3387 \h </w:instrText>
          </w:r>
          <w:r>
            <w:fldChar w:fldCharType="separate"/>
          </w:r>
          <w:r>
            <w:t>4</w:t>
          </w:r>
          <w:r>
            <w:fldChar w:fldCharType="end"/>
          </w:r>
          <w:r>
            <w:rPr>
              <w:rFonts w:hint="eastAsia" w:ascii="宋体" w:hAnsi="宋体" w:eastAsia="宋体" w:cs="宋体"/>
              <w:szCs w:val="24"/>
            </w:rPr>
            <w:fldChar w:fldCharType="end"/>
          </w:r>
        </w:p>
        <w:p w14:paraId="6AD5517B">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_Toc16438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记录</w:t>
          </w:r>
          <w:r>
            <w:tab/>
          </w:r>
          <w:r>
            <w:fldChar w:fldCharType="begin"/>
          </w:r>
          <w:r>
            <w:instrText xml:space="preserve"> PAGEREF _Toc16438 \h </w:instrText>
          </w:r>
          <w:r>
            <w:fldChar w:fldCharType="separate"/>
          </w:r>
          <w:r>
            <w:t>4</w:t>
          </w:r>
          <w:r>
            <w:fldChar w:fldCharType="end"/>
          </w:r>
          <w:r>
            <w:rPr>
              <w:rFonts w:hint="eastAsia" w:ascii="宋体" w:hAnsi="宋体" w:eastAsia="宋体" w:cs="宋体"/>
              <w:szCs w:val="24"/>
            </w:rPr>
            <w:fldChar w:fldCharType="end"/>
          </w:r>
        </w:p>
        <w:p w14:paraId="05460C6F">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272DD7F8">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36869B1E">
      <w:pPr>
        <w:pStyle w:val="28"/>
        <w:keepNext w:val="0"/>
        <w:keepLines w:val="0"/>
        <w:pageBreakBefore w:val="0"/>
        <w:widowControl w:val="0"/>
        <w:kinsoku w:val="0"/>
        <w:wordWrap/>
        <w:overflowPunct/>
        <w:autoSpaceDE w:val="0"/>
        <w:autoSpaceDN w:val="0"/>
        <w:bidi w:val="0"/>
        <w:adjustRightInd w:val="0"/>
        <w:snapToGrid w:val="0"/>
        <w:textAlignment w:val="baseline"/>
      </w:pPr>
      <w:bookmarkStart w:id="2" w:name="_Toc1824"/>
      <w:r>
        <w:rPr>
          <w:rFonts w:hint="eastAsia"/>
          <w:lang w:val="en-US" w:eastAsia="zh-CN"/>
        </w:rPr>
        <w:t>总则</w:t>
      </w:r>
      <w:bookmarkEnd w:id="2"/>
    </w:p>
    <w:p w14:paraId="39614E48">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目的</w:t>
      </w:r>
    </w:p>
    <w:p w14:paraId="5F104D00">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为确立并规范本公司运维服务管理的过程体系，明确各过程的相互关系、接口与协同机制，确保运维服务活动系统化、标准化和持续改进，有效支撑ITSS运维服务能力成熟度目标的实现，特制定本制度。</w:t>
      </w:r>
    </w:p>
    <w:p w14:paraId="5CE4A3F0">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适用范围</w:t>
      </w:r>
    </w:p>
    <w:p w14:paraId="5BB5563B">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本制度是公司运维服务管理体系的顶层框架，适用于所有与运维服务相关的部门及人员，包括运维部、研发部、质量部、人力部及采购部。</w:t>
      </w:r>
    </w:p>
    <w:p w14:paraId="301A3296">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原则</w:t>
      </w:r>
    </w:p>
    <w:p w14:paraId="1E4F51FB">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rPr>
      </w:pPr>
      <w:r>
        <w:rPr>
          <w:rFonts w:hint="eastAsia"/>
        </w:rPr>
        <w:t>战略一致原则：过程框架的设计与运作必须与公司业务战略和运维服务目标保持一致。</w:t>
      </w:r>
    </w:p>
    <w:p w14:paraId="53F16D36">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rPr>
      </w:pPr>
      <w:r>
        <w:rPr>
          <w:rFonts w:hint="eastAsia"/>
        </w:rPr>
        <w:t>过程方法原则：将相关的资源与活动作为过程进行管理，以更高效地得到期望的结果。</w:t>
      </w:r>
    </w:p>
    <w:p w14:paraId="70C870DC">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rPr>
      </w:pPr>
      <w:r>
        <w:rPr>
          <w:rFonts w:hint="eastAsia"/>
        </w:rPr>
        <w:t>集成协同原则：确保各过程之间接口清晰、信息畅通、协同运作，形成有机整体。</w:t>
      </w:r>
    </w:p>
    <w:p w14:paraId="0A733B9E">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rPr>
      </w:pPr>
      <w:r>
        <w:rPr>
          <w:rFonts w:hint="eastAsia"/>
        </w:rPr>
        <w:t>持续改进原则：基于监控、测量与评估，推动各过程及整体框架的持续优化。</w:t>
      </w:r>
    </w:p>
    <w:p w14:paraId="5038FA55">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岗位职责</w:t>
      </w:r>
    </w:p>
    <w:p w14:paraId="7BF0B773">
      <w:pPr>
        <w:pStyle w:val="3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运维部</w:t>
      </w:r>
    </w:p>
    <w:p w14:paraId="350AEB79">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作为过程框架的主要执行者和所有者，负责各运维过程的日常运作、执行与反馈。</w:t>
      </w:r>
    </w:p>
    <w:p w14:paraId="785223D6">
      <w:pPr>
        <w:pStyle w:val="3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质量部</w:t>
      </w:r>
    </w:p>
    <w:p w14:paraId="68FEA5EA">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作为过程框架的监督与维护者，负责框架的建立、推广、监督、测量和评审，组织内部审核和管理评审。</w:t>
      </w:r>
    </w:p>
    <w:p w14:paraId="10D7FA11">
      <w:pPr>
        <w:pStyle w:val="3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lang w:val="en-US" w:eastAsia="zh-CN"/>
        </w:rPr>
        <w:t>其他运维相关</w:t>
      </w:r>
      <w:r>
        <w:rPr>
          <w:rFonts w:hint="eastAsia"/>
        </w:rPr>
        <w:t>部门（研发部、人力部、采购部等）</w:t>
      </w:r>
    </w:p>
    <w:p w14:paraId="1192D335">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在框架内履行本部门相关职责，参与协同过程，确保跨部门协作的有效性。</w:t>
      </w:r>
    </w:p>
    <w:p w14:paraId="33173272">
      <w:pPr>
        <w:pStyle w:val="3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人力部</w:t>
      </w:r>
    </w:p>
    <w:p w14:paraId="59D019E1">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负责确保各岗位具备与其过程职责相匹配的能力，并提供必要的培训。</w:t>
      </w:r>
    </w:p>
    <w:p w14:paraId="275636CE">
      <w:pPr>
        <w:pStyle w:val="28"/>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引用依据</w:t>
      </w:r>
    </w:p>
    <w:p w14:paraId="739AAD57">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本制度的制定遵循并引用以下国家标准与行业规范：</w:t>
      </w:r>
    </w:p>
    <w:p w14:paraId="3A41F462">
      <w:pPr>
        <w:pStyle w:val="29"/>
        <w:keepNext w:val="0"/>
        <w:keepLines w:val="0"/>
        <w:pageBreakBefore w:val="0"/>
        <w:widowControl w:val="0"/>
        <w:numPr>
          <w:ilvl w:val="0"/>
          <w:numId w:val="3"/>
        </w:numPr>
        <w:kinsoku w:val="0"/>
        <w:wordWrap/>
        <w:overflowPunct/>
        <w:autoSpaceDE w:val="0"/>
        <w:autoSpaceDN w:val="0"/>
        <w:bidi w:val="0"/>
        <w:adjustRightInd w:val="0"/>
        <w:snapToGrid w:val="0"/>
        <w:ind w:left="425" w:leftChars="0" w:hanging="425" w:firstLineChars="0"/>
        <w:textAlignment w:val="baseline"/>
        <w:rPr>
          <w:rFonts w:hint="eastAsia"/>
        </w:rPr>
      </w:pPr>
      <w:r>
        <w:rPr>
          <w:rFonts w:hint="eastAsia"/>
        </w:rPr>
        <w:t>GB/T 28827.1-2022 《信息技术服务 运行维护 第1部分：通用要求》</w:t>
      </w:r>
    </w:p>
    <w:p w14:paraId="26E40C65">
      <w:pPr>
        <w:pStyle w:val="29"/>
        <w:keepNext w:val="0"/>
        <w:keepLines w:val="0"/>
        <w:pageBreakBefore w:val="0"/>
        <w:widowControl w:val="0"/>
        <w:numPr>
          <w:ilvl w:val="0"/>
          <w:numId w:val="3"/>
        </w:numPr>
        <w:kinsoku w:val="0"/>
        <w:wordWrap/>
        <w:overflowPunct/>
        <w:autoSpaceDE w:val="0"/>
        <w:autoSpaceDN w:val="0"/>
        <w:bidi w:val="0"/>
        <w:adjustRightInd w:val="0"/>
        <w:snapToGrid w:val="0"/>
        <w:ind w:left="425" w:leftChars="0" w:hanging="425" w:firstLineChars="0"/>
        <w:textAlignment w:val="baseline"/>
        <w:rPr>
          <w:rFonts w:hint="eastAsia"/>
        </w:rPr>
      </w:pPr>
      <w:r>
        <w:rPr>
          <w:rFonts w:hint="eastAsia"/>
        </w:rPr>
        <w:t>GB/T 28827.2-2012 《信息技术服务 运行维护 第2部分：交付规范》</w:t>
      </w:r>
    </w:p>
    <w:p w14:paraId="3C01DA7B">
      <w:pPr>
        <w:pStyle w:val="29"/>
        <w:keepNext w:val="0"/>
        <w:keepLines w:val="0"/>
        <w:pageBreakBefore w:val="0"/>
        <w:widowControl w:val="0"/>
        <w:numPr>
          <w:ilvl w:val="0"/>
          <w:numId w:val="3"/>
        </w:numPr>
        <w:kinsoku w:val="0"/>
        <w:wordWrap/>
        <w:overflowPunct/>
        <w:autoSpaceDE w:val="0"/>
        <w:autoSpaceDN w:val="0"/>
        <w:bidi w:val="0"/>
        <w:adjustRightInd w:val="0"/>
        <w:snapToGrid w:val="0"/>
        <w:ind w:left="425" w:leftChars="0" w:hanging="425" w:firstLineChars="0"/>
        <w:textAlignment w:val="baseline"/>
        <w:rPr>
          <w:rFonts w:hint="eastAsia"/>
        </w:rPr>
      </w:pPr>
      <w:r>
        <w:rPr>
          <w:rFonts w:hint="eastAsia"/>
        </w:rPr>
        <w:t>GB/T 28827.3-2012 《信息技术服务 运行维护 第3部分：应急响应规范》</w:t>
      </w:r>
    </w:p>
    <w:p w14:paraId="0C826DC4">
      <w:pPr>
        <w:pStyle w:val="29"/>
        <w:keepNext w:val="0"/>
        <w:keepLines w:val="0"/>
        <w:pageBreakBefore w:val="0"/>
        <w:widowControl w:val="0"/>
        <w:numPr>
          <w:ilvl w:val="0"/>
          <w:numId w:val="3"/>
        </w:numPr>
        <w:kinsoku w:val="0"/>
        <w:wordWrap/>
        <w:overflowPunct/>
        <w:autoSpaceDE w:val="0"/>
        <w:autoSpaceDN w:val="0"/>
        <w:bidi w:val="0"/>
        <w:adjustRightInd w:val="0"/>
        <w:snapToGrid w:val="0"/>
        <w:ind w:left="425" w:leftChars="0" w:hanging="425" w:firstLineChars="0"/>
        <w:textAlignment w:val="baseline"/>
        <w:rPr>
          <w:rFonts w:hint="eastAsia"/>
        </w:rPr>
      </w:pPr>
      <w:r>
        <w:rPr>
          <w:rFonts w:hint="eastAsia"/>
        </w:rPr>
        <w:t>T/CESA 1299—2023 《信息技术服务 运行维护服务能力成熟度模型》</w:t>
      </w:r>
    </w:p>
    <w:p w14:paraId="16B39516">
      <w:pPr>
        <w:pStyle w:val="28"/>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定义与术语</w:t>
      </w:r>
    </w:p>
    <w:p w14:paraId="4215AF75">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过程框架</w:t>
      </w:r>
    </w:p>
    <w:p w14:paraId="0D8E43BC">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指一整套相互关联并相互作用的过程的集合，这些过程为达成运维服务目标提供了结构化的管理方法。</w:t>
      </w:r>
    </w:p>
    <w:p w14:paraId="2D3D09B7">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过程资产库</w:t>
      </w:r>
    </w:p>
    <w:p w14:paraId="10F0FB03">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包含过程文档、模板、指南和经验教训的集合，用于支持和标准化过程的执行与改进。</w:t>
      </w:r>
    </w:p>
    <w:p w14:paraId="25111A99">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过程KPI（关键绩效指标）</w:t>
      </w:r>
    </w:p>
    <w:p w14:paraId="2F170A9F">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用于衡量过程绩效和有效性的量化指标。</w:t>
      </w:r>
    </w:p>
    <w:p w14:paraId="42955DD7">
      <w:pPr>
        <w:pStyle w:val="28"/>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管理内容与要求</w:t>
      </w:r>
    </w:p>
    <w:p w14:paraId="7DE4CDC1">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过程框架的构成</w:t>
      </w:r>
    </w:p>
    <w:p w14:paraId="0EAD360D">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本公司运维服务过程框架由以下四类过程组构成：</w:t>
      </w:r>
    </w:p>
    <w:p w14:paraId="51637A22">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战略与治理过程：包括服务策略管理、服务规划、风险管理、管理体系评审等，确保持续的服务Alignment与合规性。</w:t>
      </w:r>
    </w:p>
    <w:p w14:paraId="153EBFF3">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核心交付与运营过程：包括事件管理、问题管理、变更管理、服务请求管理、服务台运营等，直接面向服务的日常交付与支持。</w:t>
      </w:r>
    </w:p>
    <w:p w14:paraId="666F5CF1">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支持保障过程：包括知识管理、数据管理、软件库管理、工具研发管理、供应商管理等，为核心交付过程提供必要的资源、工具与信息支持。</w:t>
      </w:r>
    </w:p>
    <w:p w14:paraId="7B4166D5">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测量与改进过程：包括服务测量、服务报告、内部审核、管理评审、持续改进等，负责对过程体系进行监控、评估与优化。</w:t>
      </w:r>
    </w:p>
    <w:p w14:paraId="1DE33BB0">
      <w:pPr>
        <w:pStyle w:val="31"/>
        <w:bidi w:val="0"/>
        <w:rPr>
          <w:rFonts w:hint="eastAsia"/>
        </w:rPr>
      </w:pPr>
      <w:r>
        <w:rPr>
          <w:rFonts w:hint="eastAsia"/>
        </w:rPr>
        <w:t>战略与治理过程</w:t>
      </w:r>
    </w:p>
    <w:p w14:paraId="64EBC3E3">
      <w:pPr>
        <w:pStyle w:val="29"/>
        <w:keepNext w:val="0"/>
        <w:keepLines w:val="0"/>
        <w:pageBreakBefore w:val="0"/>
        <w:widowControl w:val="0"/>
        <w:numPr>
          <w:ilvl w:val="0"/>
          <w:numId w:val="4"/>
        </w:numPr>
        <w:kinsoku w:val="0"/>
        <w:wordWrap/>
        <w:overflowPunct/>
        <w:autoSpaceDE w:val="0"/>
        <w:autoSpaceDN w:val="0"/>
        <w:bidi w:val="0"/>
        <w:adjustRightInd w:val="0"/>
        <w:snapToGrid w:val="0"/>
        <w:ind w:left="425" w:leftChars="0" w:hanging="425" w:firstLineChars="0"/>
        <w:textAlignment w:val="baseline"/>
        <w:rPr>
          <w:rFonts w:hint="eastAsia"/>
        </w:rPr>
      </w:pPr>
      <w:r>
        <w:rPr>
          <w:rFonts w:hint="eastAsia"/>
        </w:rPr>
        <w:t>服务策略管理：制定和维护运维服务战略，确保与业务目标一致</w:t>
      </w:r>
    </w:p>
    <w:p w14:paraId="47556275">
      <w:pPr>
        <w:pStyle w:val="29"/>
        <w:keepNext w:val="0"/>
        <w:keepLines w:val="0"/>
        <w:pageBreakBefore w:val="0"/>
        <w:widowControl w:val="0"/>
        <w:numPr>
          <w:ilvl w:val="0"/>
          <w:numId w:val="4"/>
        </w:numPr>
        <w:kinsoku w:val="0"/>
        <w:wordWrap/>
        <w:overflowPunct/>
        <w:autoSpaceDE w:val="0"/>
        <w:autoSpaceDN w:val="0"/>
        <w:bidi w:val="0"/>
        <w:adjustRightInd w:val="0"/>
        <w:snapToGrid w:val="0"/>
        <w:ind w:left="425" w:leftChars="0" w:hanging="425" w:firstLineChars="0"/>
        <w:textAlignment w:val="baseline"/>
        <w:rPr>
          <w:rFonts w:hint="eastAsia"/>
        </w:rPr>
      </w:pPr>
      <w:r>
        <w:rPr>
          <w:rFonts w:hint="eastAsia"/>
        </w:rPr>
        <w:t>服务规划：基于业务需求制定服务方案和资源规划</w:t>
      </w:r>
    </w:p>
    <w:p w14:paraId="15E1AC57">
      <w:pPr>
        <w:pStyle w:val="29"/>
        <w:keepNext w:val="0"/>
        <w:keepLines w:val="0"/>
        <w:pageBreakBefore w:val="0"/>
        <w:widowControl w:val="0"/>
        <w:numPr>
          <w:ilvl w:val="0"/>
          <w:numId w:val="4"/>
        </w:numPr>
        <w:kinsoku w:val="0"/>
        <w:wordWrap/>
        <w:overflowPunct/>
        <w:autoSpaceDE w:val="0"/>
        <w:autoSpaceDN w:val="0"/>
        <w:bidi w:val="0"/>
        <w:adjustRightInd w:val="0"/>
        <w:snapToGrid w:val="0"/>
        <w:ind w:left="425" w:leftChars="0" w:hanging="425" w:firstLineChars="0"/>
        <w:textAlignment w:val="baseline"/>
        <w:rPr>
          <w:rFonts w:hint="eastAsia"/>
        </w:rPr>
      </w:pPr>
      <w:r>
        <w:rPr>
          <w:rFonts w:hint="eastAsia"/>
        </w:rPr>
        <w:t>风险管理：识别、评估和处理体系层面的风险</w:t>
      </w:r>
    </w:p>
    <w:p w14:paraId="190FBB68">
      <w:pPr>
        <w:pStyle w:val="29"/>
        <w:keepNext w:val="0"/>
        <w:keepLines w:val="0"/>
        <w:pageBreakBefore w:val="0"/>
        <w:widowControl w:val="0"/>
        <w:numPr>
          <w:ilvl w:val="0"/>
          <w:numId w:val="4"/>
        </w:numPr>
        <w:kinsoku w:val="0"/>
        <w:wordWrap/>
        <w:overflowPunct/>
        <w:autoSpaceDE w:val="0"/>
        <w:autoSpaceDN w:val="0"/>
        <w:bidi w:val="0"/>
        <w:adjustRightInd w:val="0"/>
        <w:snapToGrid w:val="0"/>
        <w:ind w:left="425" w:leftChars="0" w:hanging="425" w:firstLineChars="0"/>
        <w:textAlignment w:val="baseline"/>
        <w:rPr>
          <w:rFonts w:hint="eastAsia"/>
        </w:rPr>
      </w:pPr>
      <w:r>
        <w:rPr>
          <w:rFonts w:hint="eastAsia"/>
        </w:rPr>
        <w:t>管理体系评审：定期评审过程体系的适宜性和有效性</w:t>
      </w:r>
    </w:p>
    <w:p w14:paraId="6C3FD52A">
      <w:pPr>
        <w:pStyle w:val="31"/>
        <w:bidi w:val="0"/>
        <w:rPr>
          <w:rFonts w:hint="eastAsia"/>
        </w:rPr>
      </w:pPr>
      <w:r>
        <w:rPr>
          <w:rFonts w:hint="eastAsia"/>
        </w:rPr>
        <w:t>核心交付与运营过程</w:t>
      </w:r>
    </w:p>
    <w:p w14:paraId="4DC058EF">
      <w:pPr>
        <w:pStyle w:val="29"/>
        <w:keepNext w:val="0"/>
        <w:keepLines w:val="0"/>
        <w:pageBreakBefore w:val="0"/>
        <w:widowControl w:val="0"/>
        <w:numPr>
          <w:ilvl w:val="0"/>
          <w:numId w:val="5"/>
        </w:numPr>
        <w:kinsoku w:val="0"/>
        <w:wordWrap/>
        <w:overflowPunct/>
        <w:autoSpaceDE w:val="0"/>
        <w:autoSpaceDN w:val="0"/>
        <w:bidi w:val="0"/>
        <w:adjustRightInd w:val="0"/>
        <w:snapToGrid w:val="0"/>
        <w:ind w:left="425" w:leftChars="0" w:hanging="425" w:firstLineChars="0"/>
        <w:textAlignment w:val="baseline"/>
        <w:rPr>
          <w:rFonts w:hint="eastAsia"/>
        </w:rPr>
      </w:pPr>
      <w:r>
        <w:rPr>
          <w:rFonts w:hint="eastAsia"/>
        </w:rPr>
        <w:t>服务台运营：提供统一的服务接入点和协调中心</w:t>
      </w:r>
    </w:p>
    <w:p w14:paraId="2B31D3BF">
      <w:pPr>
        <w:pStyle w:val="29"/>
        <w:keepNext w:val="0"/>
        <w:keepLines w:val="0"/>
        <w:pageBreakBefore w:val="0"/>
        <w:widowControl w:val="0"/>
        <w:numPr>
          <w:ilvl w:val="0"/>
          <w:numId w:val="5"/>
        </w:numPr>
        <w:kinsoku w:val="0"/>
        <w:wordWrap/>
        <w:overflowPunct/>
        <w:autoSpaceDE w:val="0"/>
        <w:autoSpaceDN w:val="0"/>
        <w:bidi w:val="0"/>
        <w:adjustRightInd w:val="0"/>
        <w:snapToGrid w:val="0"/>
        <w:ind w:left="425" w:leftChars="0" w:hanging="425" w:firstLineChars="0"/>
        <w:textAlignment w:val="baseline"/>
        <w:rPr>
          <w:rFonts w:hint="eastAsia"/>
        </w:rPr>
      </w:pPr>
      <w:r>
        <w:rPr>
          <w:rFonts w:hint="eastAsia"/>
        </w:rPr>
        <w:t>事件管理：快速恢复正常的服务运营</w:t>
      </w:r>
    </w:p>
    <w:p w14:paraId="5B04AE6F">
      <w:pPr>
        <w:pStyle w:val="29"/>
        <w:keepNext w:val="0"/>
        <w:keepLines w:val="0"/>
        <w:pageBreakBefore w:val="0"/>
        <w:widowControl w:val="0"/>
        <w:numPr>
          <w:ilvl w:val="0"/>
          <w:numId w:val="5"/>
        </w:numPr>
        <w:kinsoku w:val="0"/>
        <w:wordWrap/>
        <w:overflowPunct/>
        <w:autoSpaceDE w:val="0"/>
        <w:autoSpaceDN w:val="0"/>
        <w:bidi w:val="0"/>
        <w:adjustRightInd w:val="0"/>
        <w:snapToGrid w:val="0"/>
        <w:ind w:left="425" w:leftChars="0" w:hanging="425" w:firstLineChars="0"/>
        <w:textAlignment w:val="baseline"/>
        <w:rPr>
          <w:rFonts w:hint="eastAsia"/>
        </w:rPr>
      </w:pPr>
      <w:r>
        <w:rPr>
          <w:rFonts w:hint="eastAsia"/>
        </w:rPr>
        <w:t>问题管理：识别和消除问题的根本原因</w:t>
      </w:r>
    </w:p>
    <w:p w14:paraId="629D80A1">
      <w:pPr>
        <w:pStyle w:val="29"/>
        <w:keepNext w:val="0"/>
        <w:keepLines w:val="0"/>
        <w:pageBreakBefore w:val="0"/>
        <w:widowControl w:val="0"/>
        <w:numPr>
          <w:ilvl w:val="0"/>
          <w:numId w:val="5"/>
        </w:numPr>
        <w:kinsoku w:val="0"/>
        <w:wordWrap/>
        <w:overflowPunct/>
        <w:autoSpaceDE w:val="0"/>
        <w:autoSpaceDN w:val="0"/>
        <w:bidi w:val="0"/>
        <w:adjustRightInd w:val="0"/>
        <w:snapToGrid w:val="0"/>
        <w:ind w:left="425" w:leftChars="0" w:hanging="425" w:firstLineChars="0"/>
        <w:textAlignment w:val="baseline"/>
        <w:rPr>
          <w:rFonts w:hint="eastAsia"/>
        </w:rPr>
      </w:pPr>
      <w:r>
        <w:rPr>
          <w:rFonts w:hint="eastAsia"/>
        </w:rPr>
        <w:t>变更管理：以受控的方式处理所有变更</w:t>
      </w:r>
    </w:p>
    <w:p w14:paraId="070E8E3F">
      <w:pPr>
        <w:pStyle w:val="29"/>
        <w:keepNext w:val="0"/>
        <w:keepLines w:val="0"/>
        <w:pageBreakBefore w:val="0"/>
        <w:widowControl w:val="0"/>
        <w:numPr>
          <w:ilvl w:val="0"/>
          <w:numId w:val="5"/>
        </w:numPr>
        <w:kinsoku w:val="0"/>
        <w:wordWrap/>
        <w:overflowPunct/>
        <w:autoSpaceDE w:val="0"/>
        <w:autoSpaceDN w:val="0"/>
        <w:bidi w:val="0"/>
        <w:adjustRightInd w:val="0"/>
        <w:snapToGrid w:val="0"/>
        <w:ind w:left="425" w:leftChars="0" w:hanging="425" w:firstLineChars="0"/>
        <w:textAlignment w:val="baseline"/>
        <w:rPr>
          <w:rFonts w:hint="eastAsia"/>
        </w:rPr>
      </w:pPr>
      <w:r>
        <w:rPr>
          <w:rFonts w:hint="eastAsia"/>
        </w:rPr>
        <w:t>服务请求管理：处理标准化的服务请求</w:t>
      </w:r>
    </w:p>
    <w:p w14:paraId="77689A46">
      <w:pPr>
        <w:pStyle w:val="31"/>
        <w:bidi w:val="0"/>
        <w:rPr>
          <w:rFonts w:hint="eastAsia"/>
        </w:rPr>
      </w:pPr>
      <w:r>
        <w:rPr>
          <w:rFonts w:hint="eastAsia"/>
        </w:rPr>
        <w:t>支持保障过程</w:t>
      </w:r>
    </w:p>
    <w:p w14:paraId="6CEE58A6">
      <w:pPr>
        <w:pStyle w:val="29"/>
        <w:keepNext w:val="0"/>
        <w:keepLines w:val="0"/>
        <w:pageBreakBefore w:val="0"/>
        <w:widowControl w:val="0"/>
        <w:numPr>
          <w:ilvl w:val="0"/>
          <w:numId w:val="6"/>
        </w:numPr>
        <w:kinsoku w:val="0"/>
        <w:wordWrap/>
        <w:overflowPunct/>
        <w:autoSpaceDE w:val="0"/>
        <w:autoSpaceDN w:val="0"/>
        <w:bidi w:val="0"/>
        <w:adjustRightInd w:val="0"/>
        <w:snapToGrid w:val="0"/>
        <w:ind w:left="425" w:leftChars="0" w:hanging="425" w:firstLineChars="0"/>
        <w:textAlignment w:val="baseline"/>
        <w:rPr>
          <w:rFonts w:hint="eastAsia"/>
        </w:rPr>
      </w:pPr>
      <w:r>
        <w:rPr>
          <w:rFonts w:hint="eastAsia"/>
        </w:rPr>
        <w:t>知识管理：收集、分析和共享运维知识</w:t>
      </w:r>
    </w:p>
    <w:p w14:paraId="433D6E33">
      <w:pPr>
        <w:pStyle w:val="29"/>
        <w:keepNext w:val="0"/>
        <w:keepLines w:val="0"/>
        <w:pageBreakBefore w:val="0"/>
        <w:widowControl w:val="0"/>
        <w:numPr>
          <w:ilvl w:val="0"/>
          <w:numId w:val="6"/>
        </w:numPr>
        <w:kinsoku w:val="0"/>
        <w:wordWrap/>
        <w:overflowPunct/>
        <w:autoSpaceDE w:val="0"/>
        <w:autoSpaceDN w:val="0"/>
        <w:bidi w:val="0"/>
        <w:adjustRightInd w:val="0"/>
        <w:snapToGrid w:val="0"/>
        <w:ind w:left="425" w:leftChars="0" w:hanging="425" w:firstLineChars="0"/>
        <w:textAlignment w:val="baseline"/>
        <w:rPr>
          <w:rFonts w:hint="eastAsia"/>
        </w:rPr>
      </w:pPr>
      <w:r>
        <w:rPr>
          <w:rFonts w:hint="eastAsia"/>
        </w:rPr>
        <w:t>配置管理：维护准确的配置信息</w:t>
      </w:r>
    </w:p>
    <w:p w14:paraId="68B216AB">
      <w:pPr>
        <w:pStyle w:val="29"/>
        <w:keepNext w:val="0"/>
        <w:keepLines w:val="0"/>
        <w:pageBreakBefore w:val="0"/>
        <w:widowControl w:val="0"/>
        <w:numPr>
          <w:ilvl w:val="0"/>
          <w:numId w:val="6"/>
        </w:numPr>
        <w:kinsoku w:val="0"/>
        <w:wordWrap/>
        <w:overflowPunct/>
        <w:autoSpaceDE w:val="0"/>
        <w:autoSpaceDN w:val="0"/>
        <w:bidi w:val="0"/>
        <w:adjustRightInd w:val="0"/>
        <w:snapToGrid w:val="0"/>
        <w:ind w:left="425" w:leftChars="0" w:hanging="425" w:firstLineChars="0"/>
        <w:textAlignment w:val="baseline"/>
        <w:rPr>
          <w:rFonts w:hint="eastAsia"/>
        </w:rPr>
      </w:pPr>
      <w:r>
        <w:rPr>
          <w:rFonts w:hint="eastAsia"/>
        </w:rPr>
        <w:t>容量管理：确保资源满足业务需求</w:t>
      </w:r>
    </w:p>
    <w:p w14:paraId="6758001D">
      <w:pPr>
        <w:pStyle w:val="29"/>
        <w:keepNext w:val="0"/>
        <w:keepLines w:val="0"/>
        <w:pageBreakBefore w:val="0"/>
        <w:widowControl w:val="0"/>
        <w:numPr>
          <w:ilvl w:val="0"/>
          <w:numId w:val="6"/>
        </w:numPr>
        <w:kinsoku w:val="0"/>
        <w:wordWrap/>
        <w:overflowPunct/>
        <w:autoSpaceDE w:val="0"/>
        <w:autoSpaceDN w:val="0"/>
        <w:bidi w:val="0"/>
        <w:adjustRightInd w:val="0"/>
        <w:snapToGrid w:val="0"/>
        <w:ind w:left="425" w:leftChars="0" w:hanging="425" w:firstLineChars="0"/>
        <w:textAlignment w:val="baseline"/>
        <w:rPr>
          <w:rFonts w:hint="eastAsia"/>
        </w:rPr>
      </w:pPr>
      <w:r>
        <w:rPr>
          <w:rFonts w:hint="eastAsia"/>
        </w:rPr>
        <w:t>可用性管理：优化服务的可用性水平</w:t>
      </w:r>
    </w:p>
    <w:p w14:paraId="2C9538D1">
      <w:pPr>
        <w:pStyle w:val="29"/>
        <w:keepNext w:val="0"/>
        <w:keepLines w:val="0"/>
        <w:pageBreakBefore w:val="0"/>
        <w:widowControl w:val="0"/>
        <w:numPr>
          <w:ilvl w:val="0"/>
          <w:numId w:val="6"/>
        </w:numPr>
        <w:kinsoku w:val="0"/>
        <w:wordWrap/>
        <w:overflowPunct/>
        <w:autoSpaceDE w:val="0"/>
        <w:autoSpaceDN w:val="0"/>
        <w:bidi w:val="0"/>
        <w:adjustRightInd w:val="0"/>
        <w:snapToGrid w:val="0"/>
        <w:ind w:left="425" w:leftChars="0" w:hanging="425" w:firstLineChars="0"/>
        <w:textAlignment w:val="baseline"/>
        <w:rPr>
          <w:rFonts w:hint="eastAsia"/>
        </w:rPr>
      </w:pPr>
      <w:r>
        <w:rPr>
          <w:rFonts w:hint="eastAsia"/>
        </w:rPr>
        <w:t>连续性管理：确保关键服务在中断后能够恢复</w:t>
      </w:r>
    </w:p>
    <w:p w14:paraId="1D7E5CAD">
      <w:pPr>
        <w:pStyle w:val="29"/>
        <w:keepNext w:val="0"/>
        <w:keepLines w:val="0"/>
        <w:pageBreakBefore w:val="0"/>
        <w:widowControl w:val="0"/>
        <w:numPr>
          <w:ilvl w:val="0"/>
          <w:numId w:val="6"/>
        </w:numPr>
        <w:kinsoku w:val="0"/>
        <w:wordWrap/>
        <w:overflowPunct/>
        <w:autoSpaceDE w:val="0"/>
        <w:autoSpaceDN w:val="0"/>
        <w:bidi w:val="0"/>
        <w:adjustRightInd w:val="0"/>
        <w:snapToGrid w:val="0"/>
        <w:ind w:left="425" w:leftChars="0" w:hanging="425" w:firstLineChars="0"/>
        <w:textAlignment w:val="baseline"/>
        <w:rPr>
          <w:rFonts w:hint="eastAsia"/>
        </w:rPr>
      </w:pPr>
      <w:r>
        <w:rPr>
          <w:rFonts w:hint="eastAsia"/>
        </w:rPr>
        <w:t>信息安全管理：保护信息的机密性、完整性和可用性</w:t>
      </w:r>
    </w:p>
    <w:p w14:paraId="22CE9913">
      <w:pPr>
        <w:pStyle w:val="31"/>
        <w:bidi w:val="0"/>
        <w:rPr>
          <w:rFonts w:hint="eastAsia"/>
        </w:rPr>
      </w:pPr>
      <w:r>
        <w:rPr>
          <w:rFonts w:hint="eastAsia"/>
        </w:rPr>
        <w:t>测量与改进过程</w:t>
      </w:r>
    </w:p>
    <w:p w14:paraId="2570917D">
      <w:pPr>
        <w:pStyle w:val="29"/>
        <w:numPr>
          <w:ilvl w:val="0"/>
          <w:numId w:val="7"/>
        </w:numPr>
        <w:bidi w:val="0"/>
        <w:ind w:left="425" w:leftChars="0" w:hanging="425" w:firstLineChars="0"/>
        <w:rPr>
          <w:rFonts w:hint="eastAsia"/>
        </w:rPr>
      </w:pPr>
      <w:r>
        <w:rPr>
          <w:rFonts w:hint="eastAsia"/>
        </w:rPr>
        <w:t>服务测量：收集和分析服务绩效数据</w:t>
      </w:r>
    </w:p>
    <w:p w14:paraId="1978934C">
      <w:pPr>
        <w:pStyle w:val="29"/>
        <w:numPr>
          <w:ilvl w:val="0"/>
          <w:numId w:val="7"/>
        </w:numPr>
        <w:bidi w:val="0"/>
        <w:ind w:left="425" w:leftChars="0" w:hanging="425" w:firstLineChars="0"/>
        <w:rPr>
          <w:rFonts w:hint="eastAsia"/>
        </w:rPr>
      </w:pPr>
      <w:r>
        <w:rPr>
          <w:rFonts w:hint="eastAsia"/>
        </w:rPr>
        <w:t>服务报告：编制和分发服务报告</w:t>
      </w:r>
    </w:p>
    <w:p w14:paraId="6CF1F266">
      <w:pPr>
        <w:pStyle w:val="29"/>
        <w:numPr>
          <w:ilvl w:val="0"/>
          <w:numId w:val="7"/>
        </w:numPr>
        <w:bidi w:val="0"/>
        <w:ind w:left="425" w:leftChars="0" w:hanging="425" w:firstLineChars="0"/>
        <w:rPr>
          <w:rFonts w:hint="eastAsia"/>
        </w:rPr>
      </w:pPr>
      <w:r>
        <w:rPr>
          <w:rFonts w:hint="eastAsia"/>
        </w:rPr>
        <w:t>内部审核：验证过程执行的符合性</w:t>
      </w:r>
    </w:p>
    <w:p w14:paraId="35574139">
      <w:pPr>
        <w:pStyle w:val="29"/>
        <w:numPr>
          <w:ilvl w:val="0"/>
          <w:numId w:val="7"/>
        </w:numPr>
        <w:bidi w:val="0"/>
        <w:ind w:left="425" w:leftChars="0" w:hanging="425" w:firstLineChars="0"/>
        <w:rPr>
          <w:rFonts w:hint="eastAsia"/>
        </w:rPr>
      </w:pPr>
      <w:r>
        <w:rPr>
          <w:rFonts w:hint="eastAsia"/>
        </w:rPr>
        <w:t>管理评审：评估体系的持续适宜性</w:t>
      </w:r>
    </w:p>
    <w:p w14:paraId="4B48BB11">
      <w:pPr>
        <w:pStyle w:val="29"/>
        <w:numPr>
          <w:ilvl w:val="0"/>
          <w:numId w:val="7"/>
        </w:numPr>
        <w:bidi w:val="0"/>
        <w:ind w:left="425" w:leftChars="0" w:hanging="425" w:firstLineChars="0"/>
        <w:rPr>
          <w:rFonts w:hint="eastAsia"/>
        </w:rPr>
      </w:pPr>
      <w:r>
        <w:rPr>
          <w:rFonts w:hint="eastAsia"/>
        </w:rPr>
        <w:t>持续改进：识别和实施改进机会</w:t>
      </w:r>
    </w:p>
    <w:p w14:paraId="28C30F3B">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过程间关系与接口管理</w:t>
      </w:r>
    </w:p>
    <w:p w14:paraId="09EDD0AA">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关系定义：各过程间的输入输出关系、信息流和触发条件必须在二级程序文件或流程图中予以明确定义。（例如：事件管理过程为问题管理过程提供输入；知识管理过程为所有其他过程提供信息支持）。</w:t>
      </w:r>
    </w:p>
    <w:p w14:paraId="5AB47D54">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接口协同：当过程活动涉及多个部门时，应建立清晰的职责矩阵（如RACI矩阵），并通过定期协调会议或协作平台确保接口顺畅。</w:t>
      </w:r>
    </w:p>
    <w:p w14:paraId="4C0726E8">
      <w:pPr>
        <w:pStyle w:val="31"/>
        <w:bidi w:val="0"/>
        <w:rPr>
          <w:rFonts w:hint="eastAsia"/>
        </w:rPr>
      </w:pPr>
      <w:r>
        <w:rPr>
          <w:rFonts w:hint="eastAsia"/>
        </w:rPr>
        <w:t>过程交互机制</w:t>
      </w:r>
    </w:p>
    <w:p w14:paraId="15EF4F22">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建立清晰的过程交互矩阵，明确各过程间的输入输出关系：</w:t>
      </w:r>
    </w:p>
    <w:p w14:paraId="33B1D4E7">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事件管理与问题管理：事件数据为问题识别提供输入，问题解决方案减少事件发生</w:t>
      </w:r>
    </w:p>
    <w:p w14:paraId="6B297AC7">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变更管理与配置管理：变更结果驱动配置项更新，配置信息支持变更影响分析</w:t>
      </w:r>
    </w:p>
    <w:p w14:paraId="6274A5F8">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知识管理与所有过程：为各过程提供知识支持，同时收集各过程的经验教训</w:t>
      </w:r>
    </w:p>
    <w:p w14:paraId="09311902">
      <w:pPr>
        <w:pStyle w:val="31"/>
        <w:bidi w:val="0"/>
        <w:rPr>
          <w:rFonts w:hint="eastAsia"/>
        </w:rPr>
      </w:pPr>
      <w:r>
        <w:rPr>
          <w:rFonts w:hint="eastAsia"/>
        </w:rPr>
        <w:t>跨部门协作机制</w:t>
      </w:r>
    </w:p>
    <w:p w14:paraId="5254E461">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建立部门间的服务级别协议（OLA），明确协作要求和质量标准</w:t>
      </w:r>
    </w:p>
    <w:p w14:paraId="2C0E1F2A">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每月召开过程协调会议，解决过程接口问题</w:t>
      </w:r>
    </w:p>
    <w:p w14:paraId="23465C15">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使用统一的协作平台，确保信息及时共享</w:t>
      </w:r>
    </w:p>
    <w:p w14:paraId="4F50C75C">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过程的建立与变更</w:t>
      </w:r>
    </w:p>
    <w:p w14:paraId="088CF1EE">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建立：新过程的建立需由主导部门提出，质量部组织评审，确保其与现有框架的兼容性，并报公司管理层批准后纳入框架。</w:t>
      </w:r>
    </w:p>
    <w:p w14:paraId="7252B946">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变更：对已有过程的任何重大变更，需遵循变更管理流程，由质量部评估其对整个框架的潜在影响，并组织相关方评审。</w:t>
      </w:r>
    </w:p>
    <w:p w14:paraId="4FD6BD31">
      <w:pPr>
        <w:pStyle w:val="31"/>
        <w:bidi w:val="0"/>
        <w:rPr>
          <w:rFonts w:hint="eastAsia"/>
        </w:rPr>
      </w:pPr>
      <w:r>
        <w:rPr>
          <w:rFonts w:hint="eastAsia"/>
        </w:rPr>
        <w:t>新过程建立流程</w:t>
      </w:r>
    </w:p>
    <w:p w14:paraId="22D6DF0F">
      <w:pPr>
        <w:pStyle w:val="29"/>
        <w:keepNext w:val="0"/>
        <w:keepLines w:val="0"/>
        <w:pageBreakBefore w:val="0"/>
        <w:widowControl w:val="0"/>
        <w:numPr>
          <w:ilvl w:val="0"/>
          <w:numId w:val="8"/>
        </w:numPr>
        <w:kinsoku w:val="0"/>
        <w:wordWrap/>
        <w:overflowPunct/>
        <w:autoSpaceDE w:val="0"/>
        <w:autoSpaceDN w:val="0"/>
        <w:bidi w:val="0"/>
        <w:adjustRightInd w:val="0"/>
        <w:snapToGrid w:val="0"/>
        <w:ind w:left="425" w:leftChars="0" w:hanging="425" w:firstLineChars="0"/>
        <w:textAlignment w:val="baseline"/>
        <w:rPr>
          <w:rFonts w:hint="eastAsia"/>
        </w:rPr>
      </w:pPr>
      <w:r>
        <w:rPr>
          <w:rFonts w:hint="eastAsia"/>
        </w:rPr>
        <w:t>需求提出：由主导部门提交《新过程建立申请》</w:t>
      </w:r>
    </w:p>
    <w:p w14:paraId="6E6ED3E3">
      <w:pPr>
        <w:pStyle w:val="29"/>
        <w:keepNext w:val="0"/>
        <w:keepLines w:val="0"/>
        <w:pageBreakBefore w:val="0"/>
        <w:widowControl w:val="0"/>
        <w:numPr>
          <w:ilvl w:val="0"/>
          <w:numId w:val="8"/>
        </w:numPr>
        <w:kinsoku w:val="0"/>
        <w:wordWrap/>
        <w:overflowPunct/>
        <w:autoSpaceDE w:val="0"/>
        <w:autoSpaceDN w:val="0"/>
        <w:bidi w:val="0"/>
        <w:adjustRightInd w:val="0"/>
        <w:snapToGrid w:val="0"/>
        <w:ind w:left="425" w:leftChars="0" w:hanging="425" w:firstLineChars="0"/>
        <w:textAlignment w:val="baseline"/>
        <w:rPr>
          <w:rFonts w:hint="eastAsia"/>
        </w:rPr>
      </w:pPr>
      <w:r>
        <w:rPr>
          <w:rFonts w:hint="eastAsia"/>
        </w:rPr>
        <w:t>影响分析：质量部组织评估对现有框架的影响</w:t>
      </w:r>
    </w:p>
    <w:p w14:paraId="06CE6554">
      <w:pPr>
        <w:pStyle w:val="29"/>
        <w:keepNext w:val="0"/>
        <w:keepLines w:val="0"/>
        <w:pageBreakBefore w:val="0"/>
        <w:widowControl w:val="0"/>
        <w:numPr>
          <w:ilvl w:val="0"/>
          <w:numId w:val="8"/>
        </w:numPr>
        <w:kinsoku w:val="0"/>
        <w:wordWrap/>
        <w:overflowPunct/>
        <w:autoSpaceDE w:val="0"/>
        <w:autoSpaceDN w:val="0"/>
        <w:bidi w:val="0"/>
        <w:adjustRightInd w:val="0"/>
        <w:snapToGrid w:val="0"/>
        <w:ind w:left="425" w:leftChars="0" w:hanging="425" w:firstLineChars="0"/>
        <w:textAlignment w:val="baseline"/>
        <w:rPr>
          <w:rFonts w:hint="eastAsia"/>
        </w:rPr>
      </w:pPr>
      <w:r>
        <w:rPr>
          <w:rFonts w:hint="eastAsia"/>
        </w:rPr>
        <w:t>方案设计：制定过程文件、模板和测量指标</w:t>
      </w:r>
    </w:p>
    <w:p w14:paraId="0432B23D">
      <w:pPr>
        <w:pStyle w:val="29"/>
        <w:keepNext w:val="0"/>
        <w:keepLines w:val="0"/>
        <w:pageBreakBefore w:val="0"/>
        <w:widowControl w:val="0"/>
        <w:numPr>
          <w:ilvl w:val="0"/>
          <w:numId w:val="8"/>
        </w:numPr>
        <w:kinsoku w:val="0"/>
        <w:wordWrap/>
        <w:overflowPunct/>
        <w:autoSpaceDE w:val="0"/>
        <w:autoSpaceDN w:val="0"/>
        <w:bidi w:val="0"/>
        <w:adjustRightInd w:val="0"/>
        <w:snapToGrid w:val="0"/>
        <w:ind w:left="425" w:leftChars="0" w:hanging="425" w:firstLineChars="0"/>
        <w:textAlignment w:val="baseline"/>
        <w:rPr>
          <w:rFonts w:hint="eastAsia"/>
        </w:rPr>
      </w:pPr>
      <w:r>
        <w:rPr>
          <w:rFonts w:hint="eastAsia"/>
        </w:rPr>
        <w:t>评审批准：组织相关部门评审，报管理层批准</w:t>
      </w:r>
    </w:p>
    <w:p w14:paraId="6B89772B">
      <w:pPr>
        <w:pStyle w:val="29"/>
        <w:keepNext w:val="0"/>
        <w:keepLines w:val="0"/>
        <w:pageBreakBefore w:val="0"/>
        <w:widowControl w:val="0"/>
        <w:numPr>
          <w:ilvl w:val="0"/>
          <w:numId w:val="8"/>
        </w:numPr>
        <w:kinsoku w:val="0"/>
        <w:wordWrap/>
        <w:overflowPunct/>
        <w:autoSpaceDE w:val="0"/>
        <w:autoSpaceDN w:val="0"/>
        <w:bidi w:val="0"/>
        <w:adjustRightInd w:val="0"/>
        <w:snapToGrid w:val="0"/>
        <w:ind w:left="425" w:leftChars="0" w:hanging="425" w:firstLineChars="0"/>
        <w:textAlignment w:val="baseline"/>
        <w:rPr>
          <w:rFonts w:hint="eastAsia"/>
        </w:rPr>
      </w:pPr>
      <w:r>
        <w:rPr>
          <w:rFonts w:hint="eastAsia"/>
        </w:rPr>
        <w:t>试点推广：选择试点范围验证效果后全面推广</w:t>
      </w:r>
    </w:p>
    <w:p w14:paraId="5476289B">
      <w:pPr>
        <w:pStyle w:val="31"/>
        <w:bidi w:val="0"/>
        <w:rPr>
          <w:rFonts w:hint="eastAsia"/>
        </w:rPr>
      </w:pPr>
      <w:r>
        <w:rPr>
          <w:rFonts w:hint="eastAsia"/>
        </w:rPr>
        <w:t>过程变更管理</w:t>
      </w:r>
    </w:p>
    <w:p w14:paraId="55CD97CC">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过程变更必须遵循变更管理流程</w:t>
      </w:r>
    </w:p>
    <w:p w14:paraId="5A08F3EC">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重大变更需进行风险评估和影响分析</w:t>
      </w:r>
    </w:p>
    <w:p w14:paraId="3B4934D7">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变更实施后需进行效果验证</w:t>
      </w:r>
    </w:p>
    <w:p w14:paraId="0A96682E">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过程的评审与改进</w:t>
      </w:r>
    </w:p>
    <w:p w14:paraId="46043826">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定期评审：质量部应每年至少组织一次对过程框架的全面评审，结合KPI数据、审计结果和业务环境变化，评估其持续适宜性。</w:t>
      </w:r>
    </w:p>
    <w:p w14:paraId="0F51981F">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持续改进：基于评审结果、审计发现、事件分析等，通过正式的管理评审会议启动改进项，并跟踪改进措施的实施与验证，形成闭环。</w:t>
      </w:r>
    </w:p>
    <w:p w14:paraId="3843524B">
      <w:pPr>
        <w:pStyle w:val="31"/>
        <w:bidi w:val="0"/>
        <w:rPr>
          <w:rFonts w:hint="eastAsia"/>
        </w:rPr>
      </w:pPr>
      <w:r>
        <w:rPr>
          <w:rFonts w:hint="eastAsia"/>
        </w:rPr>
        <w:t>过程执行要求</w:t>
      </w:r>
    </w:p>
    <w:p w14:paraId="6D2EEFCE">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所有过程必须建立相应的程序文件和作业指导书</w:t>
      </w:r>
    </w:p>
    <w:p w14:paraId="4FBFEE9B">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过程执行人员需经过培训并具备相应资质</w:t>
      </w:r>
    </w:p>
    <w:p w14:paraId="6E9BA046">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过程执行记录应完整、准确、可追溯</w:t>
      </w:r>
    </w:p>
    <w:p w14:paraId="521A4B28">
      <w:pPr>
        <w:pStyle w:val="31"/>
        <w:bidi w:val="0"/>
        <w:rPr>
          <w:rFonts w:hint="eastAsia"/>
        </w:rPr>
      </w:pPr>
      <w:r>
        <w:rPr>
          <w:rFonts w:hint="eastAsia"/>
        </w:rPr>
        <w:t>过程监督机制</w:t>
      </w:r>
    </w:p>
    <w:p w14:paraId="47DD4B20">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质量部定期对过程执行情况进行抽查</w:t>
      </w:r>
    </w:p>
    <w:p w14:paraId="09761DC3">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建立过程执行问题反馈和解决机制</w:t>
      </w:r>
    </w:p>
    <w:p w14:paraId="575B4715">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对过程偏差进行分析并采取纠正措施</w:t>
      </w:r>
    </w:p>
    <w:p w14:paraId="337C3E2D">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过程的监控与测量</w:t>
      </w:r>
    </w:p>
    <w:p w14:paraId="22ADEFE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default"/>
          <w:lang w:val="en-US" w:eastAsia="zh-CN"/>
        </w:rPr>
        <w:t>为衡量</w:t>
      </w:r>
      <w:r>
        <w:rPr>
          <w:rFonts w:hint="eastAsia"/>
          <w:lang w:val="en-US" w:eastAsia="zh-CN"/>
        </w:rPr>
        <w:t>过程框架</w:t>
      </w:r>
      <w:r>
        <w:rPr>
          <w:rFonts w:hint="default"/>
          <w:lang w:val="en-US" w:eastAsia="zh-CN"/>
        </w:rPr>
        <w:t>管理成效，设定以下核心考核指标：</w:t>
      </w:r>
      <w:r>
        <w:rPr>
          <w:rFonts w:hint="eastAsia"/>
          <w:lang w:val="en-US" w:eastAsia="zh-CN"/>
        </w:rPr>
        <w:t>如表4-1所示</w:t>
      </w:r>
    </w:p>
    <w:p w14:paraId="2EBFAD50">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关键绩效指标表</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1"/>
        <w:gridCol w:w="1387"/>
        <w:gridCol w:w="4089"/>
        <w:gridCol w:w="1107"/>
        <w:gridCol w:w="1094"/>
      </w:tblGrid>
      <w:tr w14:paraId="2083F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1" w:type="dxa"/>
          </w:tcPr>
          <w:p w14:paraId="050A4C0F">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序号</w:t>
            </w:r>
          </w:p>
        </w:tc>
        <w:tc>
          <w:tcPr>
            <w:tcW w:w="1387" w:type="dxa"/>
          </w:tcPr>
          <w:p w14:paraId="2CB18DD7">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衡量指标</w:t>
            </w:r>
          </w:p>
        </w:tc>
        <w:tc>
          <w:tcPr>
            <w:tcW w:w="4089" w:type="dxa"/>
          </w:tcPr>
          <w:p w14:paraId="0EFCE944">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指标计算说明</w:t>
            </w:r>
          </w:p>
        </w:tc>
        <w:tc>
          <w:tcPr>
            <w:tcW w:w="1107" w:type="dxa"/>
          </w:tcPr>
          <w:p w14:paraId="7797F817">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考核频次</w:t>
            </w:r>
          </w:p>
        </w:tc>
        <w:tc>
          <w:tcPr>
            <w:tcW w:w="1094" w:type="dxa"/>
          </w:tcPr>
          <w:p w14:paraId="3B047B15">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目标值</w:t>
            </w:r>
          </w:p>
        </w:tc>
      </w:tr>
      <w:tr w14:paraId="1E896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1" w:type="dxa"/>
          </w:tcPr>
          <w:p w14:paraId="005CD188">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1</w:t>
            </w:r>
          </w:p>
        </w:tc>
        <w:tc>
          <w:tcPr>
            <w:tcW w:w="1387" w:type="dxa"/>
          </w:tcPr>
          <w:p w14:paraId="5C1AE8A6">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自评估次数</w:t>
            </w:r>
          </w:p>
        </w:tc>
        <w:tc>
          <w:tcPr>
            <w:tcW w:w="4089" w:type="dxa"/>
          </w:tcPr>
          <w:p w14:paraId="0F51FAE0">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数量，每年对过程框架进行分析的次数</w:t>
            </w:r>
          </w:p>
        </w:tc>
        <w:tc>
          <w:tcPr>
            <w:tcW w:w="1107" w:type="dxa"/>
          </w:tcPr>
          <w:p w14:paraId="3F0E8EC0">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年度</w:t>
            </w:r>
          </w:p>
        </w:tc>
        <w:tc>
          <w:tcPr>
            <w:tcW w:w="1094" w:type="dxa"/>
          </w:tcPr>
          <w:p w14:paraId="69E1B1A9">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vertAlign w:val="baseline"/>
                <w:lang w:val="en-US" w:eastAsia="zh-CN"/>
              </w:rPr>
            </w:pPr>
            <w:r>
              <w:rPr>
                <w:rFonts w:hint="eastAsia" w:ascii="微软雅黑" w:hAnsi="微软雅黑" w:eastAsia="微软雅黑" w:cs="微软雅黑"/>
                <w:sz w:val="21"/>
                <w:szCs w:val="21"/>
                <w:vertAlign w:val="baseline"/>
                <w:lang w:val="en-US" w:eastAsia="zh-CN"/>
              </w:rPr>
              <w:t>≥</w:t>
            </w:r>
            <w:r>
              <w:rPr>
                <w:rFonts w:hint="eastAsia"/>
                <w:sz w:val="21"/>
                <w:szCs w:val="21"/>
                <w:vertAlign w:val="baseline"/>
                <w:lang w:val="en-US" w:eastAsia="zh-CN"/>
              </w:rPr>
              <w:t>1</w:t>
            </w:r>
          </w:p>
        </w:tc>
      </w:tr>
    </w:tbl>
    <w:p w14:paraId="646CB7F1">
      <w:pPr>
        <w:pStyle w:val="28"/>
        <w:keepNext w:val="0"/>
        <w:keepLines w:val="0"/>
        <w:pageBreakBefore w:val="0"/>
        <w:widowControl w:val="0"/>
        <w:kinsoku w:val="0"/>
        <w:wordWrap/>
        <w:overflowPunct/>
        <w:autoSpaceDE w:val="0"/>
        <w:autoSpaceDN w:val="0"/>
        <w:bidi w:val="0"/>
        <w:adjustRightInd w:val="0"/>
        <w:snapToGrid w:val="0"/>
        <w:textAlignment w:val="baseline"/>
        <w:rPr>
          <w:rStyle w:val="38"/>
          <w:rFonts w:hint="default" w:eastAsia="宋体"/>
          <w:lang w:val="en-US" w:eastAsia="zh-CN"/>
        </w:rPr>
      </w:pPr>
      <w:bookmarkStart w:id="3" w:name="bookmark3"/>
      <w:bookmarkEnd w:id="3"/>
      <w:bookmarkStart w:id="4" w:name="_Toc17424"/>
      <w:bookmarkStart w:id="5" w:name="_Toc26732"/>
      <w:bookmarkStart w:id="9" w:name="_GoBack"/>
      <w:bookmarkEnd w:id="9"/>
      <w:r>
        <w:rPr>
          <w:rStyle w:val="38"/>
          <w:rFonts w:hint="eastAsia" w:eastAsia="宋体"/>
          <w:lang w:val="en-US" w:eastAsia="zh-CN"/>
        </w:rPr>
        <w:t>附则</w:t>
      </w:r>
      <w:bookmarkEnd w:id="4"/>
      <w:bookmarkEnd w:id="5"/>
    </w:p>
    <w:p w14:paraId="282C941D">
      <w:pPr>
        <w:keepNext w:val="0"/>
        <w:keepLines w:val="0"/>
        <w:pageBreakBefore w:val="0"/>
        <w:widowControl w:val="0"/>
        <w:numPr>
          <w:ilvl w:val="0"/>
          <w:numId w:val="9"/>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cs="宋体"/>
          <w:spacing w:val="-1"/>
          <w:sz w:val="24"/>
          <w:szCs w:val="24"/>
          <w:lang w:val="en-US" w:eastAsia="zh-CN"/>
        </w:rPr>
        <w:t>运维</w:t>
      </w:r>
      <w:r>
        <w:rPr>
          <w:rFonts w:hint="eastAsia" w:ascii="宋体" w:hAnsi="宋体" w:eastAsia="宋体" w:cs="宋体"/>
          <w:spacing w:val="-1"/>
          <w:sz w:val="24"/>
          <w:szCs w:val="24"/>
          <w:lang w:eastAsia="zh-CN"/>
        </w:rPr>
        <w:t>部</w:t>
      </w:r>
      <w:r>
        <w:rPr>
          <w:rFonts w:ascii="宋体" w:hAnsi="宋体" w:eastAsia="宋体" w:cs="宋体"/>
          <w:spacing w:val="-1"/>
          <w:sz w:val="24"/>
          <w:szCs w:val="24"/>
        </w:rPr>
        <w:t>。</w:t>
      </w:r>
    </w:p>
    <w:p w14:paraId="55478B85">
      <w:pPr>
        <w:keepNext w:val="0"/>
        <w:keepLines w:val="0"/>
        <w:pageBreakBefore w:val="0"/>
        <w:widowControl w:val="0"/>
        <w:numPr>
          <w:ilvl w:val="0"/>
          <w:numId w:val="9"/>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29412FC6">
      <w:pPr>
        <w:pStyle w:val="28"/>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6" w:name="bookmark14"/>
      <w:bookmarkEnd w:id="6"/>
      <w:bookmarkStart w:id="7" w:name="_Toc3387"/>
      <w:r>
        <w:rPr>
          <w:rFonts w:hint="eastAsia"/>
          <w:lang w:val="en-US" w:eastAsia="zh-CN"/>
        </w:rPr>
        <w:t>附件</w:t>
      </w:r>
      <w:bookmarkEnd w:id="7"/>
    </w:p>
    <w:p w14:paraId="4863664D">
      <w:pPr>
        <w:pStyle w:val="28"/>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8" w:name="_Toc16438"/>
      <w:r>
        <w:rPr>
          <w:rFonts w:hint="eastAsia"/>
          <w:lang w:val="en-US" w:eastAsia="zh-CN"/>
        </w:rPr>
        <w:t>记录</w:t>
      </w:r>
      <w:bookmarkEnd w:id="8"/>
    </w:p>
    <w:p w14:paraId="05F117FD">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eastAsia"/>
          <w:lang w:val="en-US" w:eastAsia="zh-CN"/>
        </w:rPr>
        <w:t>无</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619F5D">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drawing>
        <wp:anchor distT="0" distB="0" distL="114300" distR="114300" simplePos="0" relativeHeight="251660288" behindDoc="0" locked="0" layoutInCell="1" allowOverlap="1">
          <wp:simplePos x="0" y="0"/>
          <wp:positionH relativeFrom="column">
            <wp:posOffset>67310</wp:posOffset>
          </wp:positionH>
          <wp:positionV relativeFrom="paragraph">
            <wp:posOffset>-345440</wp:posOffset>
          </wp:positionV>
          <wp:extent cx="718820" cy="461010"/>
          <wp:effectExtent l="0" t="0" r="12700" b="11430"/>
          <wp:wrapNone/>
          <wp:docPr id="1" name="图片 1"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
                  <pic:cNvPicPr>
                    <a:picLocks noChangeAspect="1"/>
                  </pic:cNvPicPr>
                </pic:nvPicPr>
                <pic:blipFill>
                  <a:blip r:embed="rId1"/>
                  <a:stretch>
                    <a:fillRect/>
                  </a:stretch>
                </pic:blipFill>
                <pic:spPr>
                  <a:xfrm>
                    <a:off x="0" y="0"/>
                    <a:ext cx="718820" cy="461010"/>
                  </a:xfrm>
                  <a:prstGeom prst="rect">
                    <a:avLst/>
                  </a:prstGeom>
                </pic:spPr>
              </pic:pic>
            </a:graphicData>
          </a:graphic>
        </wp:anchor>
      </w:drawing>
    </w: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阿克苏智汇人才服务</w:t>
    </w:r>
    <w:r>
      <w:rPr>
        <w:rFonts w:hint="eastAsia" w:eastAsiaTheme="minorEastAsia"/>
        <w:lang w:eastAsia="zh-CN"/>
      </w:rPr>
      <w:t>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99321E6F"/>
    <w:multiLevelType w:val="singleLevel"/>
    <w:tmpl w:val="99321E6F"/>
    <w:lvl w:ilvl="0" w:tentative="0">
      <w:start w:val="1"/>
      <w:numFmt w:val="decimal"/>
      <w:lvlText w:val="%1."/>
      <w:lvlJc w:val="left"/>
      <w:pPr>
        <w:ind w:left="425" w:hanging="425"/>
      </w:pPr>
      <w:rPr>
        <w:rFonts w:hint="default"/>
      </w:rPr>
    </w:lvl>
  </w:abstractNum>
  <w:abstractNum w:abstractNumId="2">
    <w:nsid w:val="A76B1425"/>
    <w:multiLevelType w:val="singleLevel"/>
    <w:tmpl w:val="A76B1425"/>
    <w:lvl w:ilvl="0" w:tentative="0">
      <w:start w:val="1"/>
      <w:numFmt w:val="decimal"/>
      <w:lvlText w:val="%1."/>
      <w:lvlJc w:val="left"/>
      <w:pPr>
        <w:ind w:left="425" w:hanging="425"/>
      </w:pPr>
      <w:rPr>
        <w:rFonts w:hint="default"/>
      </w:rPr>
    </w:lvl>
  </w:abstractNum>
  <w:abstractNum w:abstractNumId="3">
    <w:nsid w:val="D81445D8"/>
    <w:multiLevelType w:val="singleLevel"/>
    <w:tmpl w:val="D81445D8"/>
    <w:lvl w:ilvl="0" w:tentative="0">
      <w:start w:val="1"/>
      <w:numFmt w:val="decimal"/>
      <w:lvlText w:val="%1."/>
      <w:lvlJc w:val="left"/>
      <w:pPr>
        <w:ind w:left="425" w:hanging="425"/>
      </w:pPr>
      <w:rPr>
        <w:rFonts w:hint="default"/>
      </w:rPr>
    </w:lvl>
  </w:abstractNum>
  <w:abstractNum w:abstractNumId="4">
    <w:nsid w:val="F9539CF3"/>
    <w:multiLevelType w:val="singleLevel"/>
    <w:tmpl w:val="F9539CF3"/>
    <w:lvl w:ilvl="0" w:tentative="0">
      <w:start w:val="1"/>
      <w:numFmt w:val="decimal"/>
      <w:lvlText w:val="%1."/>
      <w:lvlJc w:val="left"/>
      <w:pPr>
        <w:ind w:left="425" w:hanging="425"/>
      </w:pPr>
      <w:rPr>
        <w:rFonts w:hint="default"/>
      </w:rPr>
    </w:lvl>
  </w:abstractNum>
  <w:abstractNum w:abstractNumId="5">
    <w:nsid w:val="FED56576"/>
    <w:multiLevelType w:val="singleLevel"/>
    <w:tmpl w:val="FED56576"/>
    <w:lvl w:ilvl="0" w:tentative="0">
      <w:start w:val="1"/>
      <w:numFmt w:val="decimal"/>
      <w:lvlText w:val="%1."/>
      <w:lvlJc w:val="left"/>
      <w:pPr>
        <w:ind w:left="425" w:hanging="425"/>
      </w:pPr>
      <w:rPr>
        <w:rFonts w:hint="default"/>
      </w:rPr>
    </w:lvl>
  </w:abstractNum>
  <w:abstractNum w:abstractNumId="6">
    <w:nsid w:val="025AE9BF"/>
    <w:multiLevelType w:val="singleLevel"/>
    <w:tmpl w:val="025AE9BF"/>
    <w:lvl w:ilvl="0" w:tentative="0">
      <w:start w:val="1"/>
      <w:numFmt w:val="decimal"/>
      <w:lvlText w:val="%1."/>
      <w:lvlJc w:val="left"/>
      <w:pPr>
        <w:ind w:left="425" w:hanging="425"/>
      </w:pPr>
      <w:rPr>
        <w:rFonts w:hint="default"/>
      </w:rPr>
    </w:lvl>
  </w:abstractNum>
  <w:abstractNum w:abstractNumId="7">
    <w:nsid w:val="38D49E58"/>
    <w:multiLevelType w:val="singleLevel"/>
    <w:tmpl w:val="38D49E58"/>
    <w:lvl w:ilvl="0" w:tentative="0">
      <w:start w:val="1"/>
      <w:numFmt w:val="decimal"/>
      <w:lvlText w:val="%1."/>
      <w:lvlJc w:val="left"/>
      <w:pPr>
        <w:ind w:left="425" w:hanging="425"/>
      </w:pPr>
      <w:rPr>
        <w:rFonts w:hint="default"/>
      </w:rPr>
    </w:lvl>
  </w:abstractNum>
  <w:abstractNum w:abstractNumId="8">
    <w:nsid w:val="65FBFB8E"/>
    <w:multiLevelType w:val="singleLevel"/>
    <w:tmpl w:val="65FBFB8E"/>
    <w:lvl w:ilvl="0" w:tentative="0">
      <w:start w:val="1"/>
      <w:numFmt w:val="decimal"/>
      <w:lvlText w:val="%1."/>
      <w:lvlJc w:val="left"/>
      <w:pPr>
        <w:ind w:left="425" w:hanging="425"/>
      </w:pPr>
      <w:rPr>
        <w:rFonts w:hint="default"/>
      </w:rPr>
    </w:lvl>
  </w:abstractNum>
  <w:num w:numId="1">
    <w:abstractNumId w:val="0"/>
  </w:num>
  <w:num w:numId="2">
    <w:abstractNumId w:val="7"/>
  </w:num>
  <w:num w:numId="3">
    <w:abstractNumId w:val="8"/>
  </w:num>
  <w:num w:numId="4">
    <w:abstractNumId w:val="6"/>
  </w:num>
  <w:num w:numId="5">
    <w:abstractNumId w:val="1"/>
  </w:num>
  <w:num w:numId="6">
    <w:abstractNumId w:val="3"/>
  </w:num>
  <w:num w:numId="7">
    <w:abstractNumId w:val="2"/>
  </w:num>
  <w:num w:numId="8">
    <w:abstractNumId w:val="5"/>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0C1FF9"/>
    <w:rsid w:val="0055574E"/>
    <w:rsid w:val="0104303E"/>
    <w:rsid w:val="01516AC1"/>
    <w:rsid w:val="01E07299"/>
    <w:rsid w:val="0211124F"/>
    <w:rsid w:val="029C58B6"/>
    <w:rsid w:val="02CE3596"/>
    <w:rsid w:val="02EA4873"/>
    <w:rsid w:val="040604A9"/>
    <w:rsid w:val="05980692"/>
    <w:rsid w:val="073D05DE"/>
    <w:rsid w:val="07660A33"/>
    <w:rsid w:val="080D4B60"/>
    <w:rsid w:val="09975029"/>
    <w:rsid w:val="09D65B51"/>
    <w:rsid w:val="09F2400E"/>
    <w:rsid w:val="09FC6C3A"/>
    <w:rsid w:val="0BAB6B6A"/>
    <w:rsid w:val="0CF12BAD"/>
    <w:rsid w:val="0D800655"/>
    <w:rsid w:val="0DBA2863"/>
    <w:rsid w:val="0ED03EB7"/>
    <w:rsid w:val="0F4F57A4"/>
    <w:rsid w:val="0FD115EF"/>
    <w:rsid w:val="10D601E5"/>
    <w:rsid w:val="127C6B6A"/>
    <w:rsid w:val="130628D8"/>
    <w:rsid w:val="131B2827"/>
    <w:rsid w:val="139879D4"/>
    <w:rsid w:val="13D604FC"/>
    <w:rsid w:val="14B42767"/>
    <w:rsid w:val="158D57C5"/>
    <w:rsid w:val="15CC7E09"/>
    <w:rsid w:val="15EC2259"/>
    <w:rsid w:val="166444E5"/>
    <w:rsid w:val="16B0772A"/>
    <w:rsid w:val="170D06D9"/>
    <w:rsid w:val="17103D25"/>
    <w:rsid w:val="17343EB7"/>
    <w:rsid w:val="17710C68"/>
    <w:rsid w:val="17BE19D3"/>
    <w:rsid w:val="17DF25E3"/>
    <w:rsid w:val="18846779"/>
    <w:rsid w:val="18A7731E"/>
    <w:rsid w:val="18F465E3"/>
    <w:rsid w:val="19E020D4"/>
    <w:rsid w:val="1A9923D9"/>
    <w:rsid w:val="1B69092E"/>
    <w:rsid w:val="1BC709D8"/>
    <w:rsid w:val="1D997E65"/>
    <w:rsid w:val="1DE407D1"/>
    <w:rsid w:val="1E692834"/>
    <w:rsid w:val="1EFD1033"/>
    <w:rsid w:val="1FCB1131"/>
    <w:rsid w:val="20D91840"/>
    <w:rsid w:val="215C6FE4"/>
    <w:rsid w:val="22431452"/>
    <w:rsid w:val="23A26E72"/>
    <w:rsid w:val="23DD436C"/>
    <w:rsid w:val="23E338C7"/>
    <w:rsid w:val="23FD59BD"/>
    <w:rsid w:val="26C427F2"/>
    <w:rsid w:val="2908648D"/>
    <w:rsid w:val="294F2DD3"/>
    <w:rsid w:val="2975663E"/>
    <w:rsid w:val="2A8B6C6D"/>
    <w:rsid w:val="2B4A3852"/>
    <w:rsid w:val="2B612949"/>
    <w:rsid w:val="2C832715"/>
    <w:rsid w:val="2E500F2E"/>
    <w:rsid w:val="2E6E5AA9"/>
    <w:rsid w:val="2F041F69"/>
    <w:rsid w:val="2F6765E7"/>
    <w:rsid w:val="2FC11C09"/>
    <w:rsid w:val="333746BC"/>
    <w:rsid w:val="346C0F8D"/>
    <w:rsid w:val="34C208FD"/>
    <w:rsid w:val="350D601C"/>
    <w:rsid w:val="355F2343"/>
    <w:rsid w:val="35D703D8"/>
    <w:rsid w:val="35DE67BA"/>
    <w:rsid w:val="36883480"/>
    <w:rsid w:val="36914A2B"/>
    <w:rsid w:val="3699743B"/>
    <w:rsid w:val="375F2433"/>
    <w:rsid w:val="37971BCD"/>
    <w:rsid w:val="37CB5D1A"/>
    <w:rsid w:val="37DF17C6"/>
    <w:rsid w:val="37E666B0"/>
    <w:rsid w:val="38107E7B"/>
    <w:rsid w:val="38295CCA"/>
    <w:rsid w:val="3914549F"/>
    <w:rsid w:val="393F10D8"/>
    <w:rsid w:val="3A4C0701"/>
    <w:rsid w:val="3BBC42F8"/>
    <w:rsid w:val="3C265C15"/>
    <w:rsid w:val="3D5F4115"/>
    <w:rsid w:val="3E287A22"/>
    <w:rsid w:val="3E5A3954"/>
    <w:rsid w:val="3ECA4A25"/>
    <w:rsid w:val="3F2D2E17"/>
    <w:rsid w:val="40646D0C"/>
    <w:rsid w:val="40873B7A"/>
    <w:rsid w:val="40B11D0C"/>
    <w:rsid w:val="40ED6C0D"/>
    <w:rsid w:val="41DA54D8"/>
    <w:rsid w:val="426164FC"/>
    <w:rsid w:val="43223C0F"/>
    <w:rsid w:val="4368266F"/>
    <w:rsid w:val="43996CCD"/>
    <w:rsid w:val="4410632B"/>
    <w:rsid w:val="45EE5265"/>
    <w:rsid w:val="46BF2EEE"/>
    <w:rsid w:val="472B0583"/>
    <w:rsid w:val="47A10846"/>
    <w:rsid w:val="47BB1907"/>
    <w:rsid w:val="484F2050"/>
    <w:rsid w:val="48FA020D"/>
    <w:rsid w:val="49B33C44"/>
    <w:rsid w:val="49CC1B61"/>
    <w:rsid w:val="4BFB76A0"/>
    <w:rsid w:val="4D1711C1"/>
    <w:rsid w:val="4E0B149B"/>
    <w:rsid w:val="4F6F1974"/>
    <w:rsid w:val="503F29AA"/>
    <w:rsid w:val="50BE0A71"/>
    <w:rsid w:val="511C5981"/>
    <w:rsid w:val="51F0261E"/>
    <w:rsid w:val="53607807"/>
    <w:rsid w:val="5486504B"/>
    <w:rsid w:val="54CB7E3C"/>
    <w:rsid w:val="56017A7E"/>
    <w:rsid w:val="5632548A"/>
    <w:rsid w:val="58562F86"/>
    <w:rsid w:val="58675193"/>
    <w:rsid w:val="5A6610C0"/>
    <w:rsid w:val="5B0B0058"/>
    <w:rsid w:val="5B85605C"/>
    <w:rsid w:val="5D0D6A04"/>
    <w:rsid w:val="5D2E6280"/>
    <w:rsid w:val="5D6677C8"/>
    <w:rsid w:val="5E0F60B1"/>
    <w:rsid w:val="5E6A32E8"/>
    <w:rsid w:val="5EFB71CC"/>
    <w:rsid w:val="5F7F1015"/>
    <w:rsid w:val="613E7799"/>
    <w:rsid w:val="6200643D"/>
    <w:rsid w:val="62312EF8"/>
    <w:rsid w:val="640721AA"/>
    <w:rsid w:val="652A5B5F"/>
    <w:rsid w:val="657F3B1C"/>
    <w:rsid w:val="658E33C1"/>
    <w:rsid w:val="659C092C"/>
    <w:rsid w:val="65C43C25"/>
    <w:rsid w:val="65E63B9C"/>
    <w:rsid w:val="66372A2B"/>
    <w:rsid w:val="678C0773"/>
    <w:rsid w:val="682B7F8C"/>
    <w:rsid w:val="68804644"/>
    <w:rsid w:val="698F3ABF"/>
    <w:rsid w:val="69DB53BE"/>
    <w:rsid w:val="6BAD2A66"/>
    <w:rsid w:val="6BF30DC0"/>
    <w:rsid w:val="6D834437"/>
    <w:rsid w:val="6DB46CBB"/>
    <w:rsid w:val="6E6623CD"/>
    <w:rsid w:val="6F887A72"/>
    <w:rsid w:val="6FAF3250"/>
    <w:rsid w:val="70AA3D56"/>
    <w:rsid w:val="711772FF"/>
    <w:rsid w:val="713003C1"/>
    <w:rsid w:val="7141437C"/>
    <w:rsid w:val="72005FE5"/>
    <w:rsid w:val="73593BFF"/>
    <w:rsid w:val="73644352"/>
    <w:rsid w:val="73C7661F"/>
    <w:rsid w:val="74220495"/>
    <w:rsid w:val="745D70B1"/>
    <w:rsid w:val="76960176"/>
    <w:rsid w:val="76C9109B"/>
    <w:rsid w:val="76F6721A"/>
    <w:rsid w:val="776C1A27"/>
    <w:rsid w:val="783E1615"/>
    <w:rsid w:val="78CA2EA9"/>
    <w:rsid w:val="78D1021F"/>
    <w:rsid w:val="7A1940E8"/>
    <w:rsid w:val="7A2F7467"/>
    <w:rsid w:val="7B4E6013"/>
    <w:rsid w:val="7B5C70B9"/>
    <w:rsid w:val="7C066719"/>
    <w:rsid w:val="7C434C07"/>
    <w:rsid w:val="7D0C7F34"/>
    <w:rsid w:val="7DA168CE"/>
    <w:rsid w:val="7DF905A7"/>
    <w:rsid w:val="7E086FD3"/>
    <w:rsid w:val="7F8244DD"/>
    <w:rsid w:val="7F9B10FB"/>
    <w:rsid w:val="7FE777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1635</Words>
  <Characters>1780</Characters>
  <Lines>0</Lines>
  <Paragraphs>0</Paragraphs>
  <TotalTime>6</TotalTime>
  <ScaleCrop>false</ScaleCrop>
  <LinksUpToDate>false</LinksUpToDate>
  <CharactersWithSpaces>1845</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2025-10-21T21:52:27Z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2052-12.1.0.23125</vt:lpwstr>
  </property>
  <property fmtid="{D5CDD505-2E9C-101B-9397-08002B2CF9AE}" pid="4" name="KSOTemplateDocerSaveRecord">
    <vt:lpwstr>eyJoZGlkIjoiMDY5NmFjMmM4ZTljMGJiZDAxN2JmYTc0NGI0NmFiNDgiLCJ1c2VySWQiOiIxMDc1MzgyOSJ9</vt:lpwstr>
  </property>
</Properties>
</file>