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服务级别管理制度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2AC20B9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 w14:paraId="7BDB57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为规范公司运维服务的级别管理，通过一套固定的流程对服务绩效进行协商、监控、评价与报告，确保服务质量既符合业务需求与成本约束，又能持续提升客户满意度，并有效督促服务提供方，特制定本制度。</w:t>
      </w:r>
    </w:p>
    <w:p w14:paraId="7F38E7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 w14:paraId="4610DF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本制度适用于公司所有为客户提供的运维服务，涵盖服务级别的定义、协商、监控、评审与改进全过程。</w:t>
      </w:r>
    </w:p>
    <w:p w14:paraId="15CBAD6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</w:t>
      </w:r>
    </w:p>
    <w:p w14:paraId="34A029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客户导向原则：服务级别的设定必须以客户业务需求和期望为中心。</w:t>
      </w:r>
    </w:p>
    <w:p w14:paraId="53CE19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量化可控原则：服务目标应可测量、可监控、可管理。</w:t>
      </w:r>
    </w:p>
    <w:p w14:paraId="5A6E55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协商一致原则：所有服务级别协议均需与客户充分沟通、协商并达成一致。</w:t>
      </w:r>
    </w:p>
    <w:p w14:paraId="2AE909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持续改进原则：定期评审服务绩效，推动服务质量的持续提升。</w:t>
      </w:r>
    </w:p>
    <w:p w14:paraId="6A53EDB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</w:t>
      </w:r>
    </w:p>
    <w:p w14:paraId="620E068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经理</w:t>
      </w:r>
    </w:p>
    <w:p w14:paraId="0382A6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负责编制与更新服务目录；定义和维护服务级别管理过程；跟踪、监控和评审服务级别协议的执行情况。</w:t>
      </w:r>
    </w:p>
    <w:p w14:paraId="2890871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</w:p>
    <w:p w14:paraId="289662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负责识别客户需求，与客户协商并签订《服务级别协议》；依据协议完成服务规划与部署；监测服务质量，落实改进措施；组织客户进行服务评价，并调整下一周期的协议。</w:t>
      </w:r>
    </w:p>
    <w:p w14:paraId="694C36A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</w:t>
      </w:r>
    </w:p>
    <w:p w14:paraId="6AE1C4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负责监督本流程的执行质量，并参与服务级别目标的内部评审。</w:t>
      </w:r>
    </w:p>
    <w:p w14:paraId="11BA95F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引用依据</w:t>
      </w:r>
    </w:p>
    <w:p w14:paraId="4C1CB6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本制度的制定遵循并引用以下国家标准与行业规范：</w:t>
      </w:r>
    </w:p>
    <w:p w14:paraId="1134634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 w14:paraId="3E97EA3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 w14:paraId="2BD78CC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 w14:paraId="59D444D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 w14:paraId="43F387B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定义与术语</w:t>
      </w:r>
    </w:p>
    <w:p w14:paraId="784E3A7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</w:t>
      </w:r>
    </w:p>
    <w:p w14:paraId="1D4A0B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服务提供方以客户语言记录的、关于所有可提供服务的概要信息文件，是协调客户期望、促进双方理解的重要沟通工具。</w:t>
      </w:r>
    </w:p>
    <w:p w14:paraId="24C13D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服务级别协议</w:t>
      </w:r>
    </w:p>
    <w:p w14:paraId="3EA2BA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服务提供方与客户就服务的质量、性能、范围等方面所达成的双方共同认可的书面协议。</w:t>
      </w:r>
    </w:p>
    <w:p w14:paraId="6EC998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支持合同</w:t>
      </w:r>
    </w:p>
    <w:p w14:paraId="08C9AD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为支撑SLA的履行，与服务提供方内部团队或第三方供应商签订的关于技术支持、资源保障等方面的协议。</w:t>
      </w:r>
    </w:p>
    <w:p w14:paraId="4188A2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管理内容与要求</w:t>
      </w:r>
    </w:p>
    <w:p w14:paraId="6E3BFB7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服务级别管理全生命周期</w:t>
      </w:r>
    </w:p>
    <w:p w14:paraId="33D09F7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流程触发与启动</w:t>
      </w:r>
    </w:p>
    <w:p w14:paraId="077B67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当出现以下情况之一时，必须启动服务级别管理流程：</w:t>
      </w:r>
    </w:p>
    <w:p w14:paraId="5984165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有新的运维服务项目被批准时。</w:t>
      </w:r>
    </w:p>
    <w:p w14:paraId="30BBF9C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现有服务发生重大变更并被批准时。</w:t>
      </w:r>
    </w:p>
    <w:p w14:paraId="5E859A2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公司服务战略、运维能力或资源支持发生本质性变动，需要更新服务级别时。</w:t>
      </w:r>
    </w:p>
    <w:p w14:paraId="65CBF47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4.1.2 服务需求管理</w:t>
      </w:r>
    </w:p>
    <w:p w14:paraId="514127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需求调研：采用标准化问卷、深度访谈、工作坊等多种形式，全面收集客户业务需求和服务期望</w:t>
      </w:r>
    </w:p>
    <w:p w14:paraId="5291C8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需求分析：将客户需求转化为可量化的服务指标，建立需求优先级矩阵</w:t>
      </w:r>
    </w:p>
    <w:p w14:paraId="621735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需求确认：形成《客户服务需求说明书》，经双方确认后作为SLA制定基础</w:t>
      </w:r>
    </w:p>
    <w:p w14:paraId="1E23091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服务级别协议制定</w:t>
      </w:r>
    </w:p>
    <w:p w14:paraId="284E95F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协议内容规范</w:t>
      </w:r>
    </w:p>
    <w:p w14:paraId="035C1E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SLA必须包含以下核心内容：</w:t>
      </w:r>
    </w:p>
    <w:p w14:paraId="7523D17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服务概述和目标业务价值</w:t>
      </w:r>
    </w:p>
    <w:p w14:paraId="542901F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服务范围和排除范围说明</w:t>
      </w:r>
    </w:p>
    <w:p w14:paraId="1DD72FB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服务时间安排和响应时效承诺</w:t>
      </w:r>
    </w:p>
    <w:p w14:paraId="60814BD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关键绩效指标（KPI）及测量方法</w:t>
      </w:r>
    </w:p>
    <w:p w14:paraId="3E2E8A0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服务报告内容和频次要求</w:t>
      </w:r>
    </w:p>
    <w:p w14:paraId="10F7658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双方责任和义务界定</w:t>
      </w:r>
    </w:p>
    <w:p w14:paraId="5243E08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服务费用结构和计费方式</w:t>
      </w:r>
    </w:p>
    <w:p w14:paraId="08990C7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违约处理和争议解决机制</w:t>
      </w:r>
    </w:p>
    <w:p w14:paraId="683F8C0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协议变更和终止条款</w:t>
      </w:r>
    </w:p>
    <w:p w14:paraId="33D3817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内部协同机制</w:t>
      </w:r>
    </w:p>
    <w:p w14:paraId="1DC1E5C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建立跨部门评审流程，确保SLA的技术可行性、财务合理性和法律合规性</w:t>
      </w:r>
    </w:p>
    <w:p w14:paraId="4048D83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制定支撑合同（OLA），明确内部团队的服务承诺和责任分工</w:t>
      </w:r>
    </w:p>
    <w:p w14:paraId="73E722C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与第三方供应商签订 underpinning contract，确保外部资源支持</w:t>
      </w:r>
    </w:p>
    <w:p w14:paraId="1C1A3A3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服务目录管理</w:t>
      </w:r>
    </w:p>
    <w:p w14:paraId="4CC753A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服务目录结构</w:t>
      </w:r>
    </w:p>
    <w:p w14:paraId="6737D4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建立分层级的服务目录体系：</w:t>
      </w:r>
    </w:p>
    <w:p w14:paraId="2A176A86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业务服务目录：以客户业务语言描述服务价值和成果</w:t>
      </w:r>
    </w:p>
    <w:p w14:paraId="48FA0E74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技术服务目录：以技术术语描述服务组件和配置项</w:t>
      </w:r>
    </w:p>
    <w:p w14:paraId="67F33F52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内部服务目录：定义内部支撑服务和资源分配</w:t>
      </w:r>
    </w:p>
    <w:p w14:paraId="4AAD97A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服务目录维护</w:t>
      </w:r>
    </w:p>
    <w:p w14:paraId="677F65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每季度更新服务目录，确保与实际情况一致</w:t>
      </w:r>
    </w:p>
    <w:p w14:paraId="0B5859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建立服务目录变更控制流程</w:t>
      </w:r>
    </w:p>
    <w:p w14:paraId="3F9AD9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定期向客户发布服务目录版本更新说明</w:t>
      </w:r>
    </w:p>
    <w:p w14:paraId="5183DC4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服务绩效监控</w:t>
      </w:r>
    </w:p>
    <w:p w14:paraId="2516E56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监控体系建立</w:t>
      </w:r>
    </w:p>
    <w:p w14:paraId="476F8B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设计完整的KPI监控指标体系，涵盖可用性、可靠性、响应性等维度</w:t>
      </w:r>
    </w:p>
    <w:p w14:paraId="3DAAB2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部署自动化监控工具，实现服务数据的实时采集</w:t>
      </w:r>
    </w:p>
    <w:p w14:paraId="6D27A4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建立数据质量控制机制，确保监控数据的准确性和完整性</w:t>
      </w:r>
    </w:p>
    <w:p w14:paraId="4406644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</w:t>
      </w:r>
    </w:p>
    <w:p w14:paraId="752FD1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报告周期：按周、月、季度生成不同深度的服务报告</w:t>
      </w:r>
    </w:p>
    <w:p w14:paraId="33A908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报告内容：包括KPI达成情况、趋势分析、重大事件回顾、改进计划等</w:t>
      </w:r>
    </w:p>
    <w:p w14:paraId="2AC438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报告分发：确保报告及时送达相关干系人，并收集反馈意见</w:t>
      </w:r>
    </w:p>
    <w:p w14:paraId="7BB1539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4.5 服务评审与改进</w:t>
      </w:r>
    </w:p>
    <w:p w14:paraId="123E37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定期评审机制</w:t>
      </w:r>
    </w:p>
    <w:p w14:paraId="0EB19D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季度业务评审：与客户共同回顾服务绩效，讨论业务需求变化</w:t>
      </w:r>
    </w:p>
    <w:p w14:paraId="793535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月度运营评审：内部评估服务交付情况，分析运营问题</w:t>
      </w:r>
    </w:p>
    <w:p w14:paraId="310982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专项评审：针对重大事件或性能偏差进行深度分析</w:t>
      </w:r>
    </w:p>
    <w:p w14:paraId="5F38CAA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持续改进循环</w:t>
      </w:r>
    </w:p>
    <w:p w14:paraId="242A0D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建立系统化的改进机制：</w:t>
      </w:r>
    </w:p>
    <w:p w14:paraId="1692CD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分析服务差距的根本原因</w:t>
      </w:r>
    </w:p>
    <w:p w14:paraId="61EEB9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制定具体的改进措施和行动计划</w:t>
      </w:r>
    </w:p>
    <w:p w14:paraId="000E86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跟踪改进措施的执行效果</w:t>
      </w:r>
    </w:p>
    <w:p w14:paraId="705F84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将有效实践标准化并推广</w:t>
      </w:r>
    </w:p>
    <w:p w14:paraId="7EF48C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服务级别变更管理</w:t>
      </w:r>
    </w:p>
    <w:p w14:paraId="0C9F74E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变更触发条件</w:t>
      </w:r>
    </w:p>
    <w:p w14:paraId="396DBD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客户业务需求发生重大变化</w:t>
      </w:r>
    </w:p>
    <w:p w14:paraId="12F7D3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服务绩效持续不达标需要调整</w:t>
      </w:r>
    </w:p>
    <w:p w14:paraId="2A4BAF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技术环境或服务模式发生变更</w:t>
      </w:r>
    </w:p>
    <w:p w14:paraId="64DF6C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成本结构或资源状况发生变化</w:t>
      </w:r>
    </w:p>
    <w:p w14:paraId="7B92C55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GoBack"/>
      <w:bookmarkEnd w:id="3"/>
      <w:r>
        <w:rPr>
          <w:rFonts w:hint="default"/>
          <w:lang w:val="en-US" w:eastAsia="zh-CN"/>
        </w:rPr>
        <w:t>变更控制流程</w:t>
      </w:r>
    </w:p>
    <w:p w14:paraId="1A8197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变更请求的提交和评估</w:t>
      </w:r>
    </w:p>
    <w:p w14:paraId="3A457C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变更影响分析和方案制定</w:t>
      </w:r>
    </w:p>
    <w:p w14:paraId="2BA51A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客户沟通和协商</w:t>
      </w:r>
    </w:p>
    <w:p w14:paraId="5867F7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变更实施和效果验证</w:t>
      </w:r>
    </w:p>
    <w:p w14:paraId="5A0C859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</w:t>
      </w:r>
    </w:p>
    <w:p w14:paraId="05F117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为衡量服务级别管理成效，设定以下核心考核指标：</w:t>
      </w:r>
      <w:r>
        <w:rPr>
          <w:rFonts w:hint="eastAsia"/>
          <w:lang w:val="en-US" w:eastAsia="zh-CN"/>
        </w:rPr>
        <w:t>如表4-1所示</w:t>
      </w:r>
    </w:p>
    <w:p w14:paraId="2EBFAD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 w14:paraId="1E841C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4089" w:type="dxa"/>
          </w:tcPr>
          <w:p w14:paraId="1BD91A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t>(满足服务级别的事件数/事件总数)*100%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95%</w:t>
            </w:r>
          </w:p>
        </w:tc>
      </w:tr>
    </w:tbl>
    <w:p w14:paraId="7A638B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</w:p>
    <w:p w14:paraId="656E940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</w:p>
    <w:p w14:paraId="135190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本制度最终解释权和修订权归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部。</w:t>
      </w:r>
    </w:p>
    <w:p w14:paraId="6F627B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</w:t>
      </w:r>
    </w:p>
    <w:p w14:paraId="682C989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</w:t>
      </w:r>
    </w:p>
    <w:p w14:paraId="15054B9E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《服务级别协议（模板）》</w:t>
      </w:r>
    </w:p>
    <w:p w14:paraId="7FC2B14A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《服务级别管理监控记录表》</w:t>
      </w:r>
    </w:p>
    <w:p w14:paraId="120621D2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《服务级别评审表》</w:t>
      </w:r>
    </w:p>
    <w:p w14:paraId="44F23B5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</w:t>
      </w:r>
    </w:p>
    <w:p w14:paraId="19E3A72E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《服务报告》</w:t>
      </w:r>
    </w:p>
    <w:p w14:paraId="7A10E703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《服务级别评审会议纪要》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55C7C76"/>
    <w:multiLevelType w:val="singleLevel"/>
    <w:tmpl w:val="B55C7C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A226E6"/>
    <w:multiLevelType w:val="singleLevel"/>
    <w:tmpl w:val="D8A226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CBFE8F"/>
    <w:multiLevelType w:val="singleLevel"/>
    <w:tmpl w:val="1ACBFE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FDF9281"/>
    <w:multiLevelType w:val="singleLevel"/>
    <w:tmpl w:val="1FDF92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70987C9"/>
    <w:multiLevelType w:val="singleLevel"/>
    <w:tmpl w:val="370987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77A7C3"/>
    <w:multiLevelType w:val="singleLevel"/>
    <w:tmpl w:val="6477A7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DF3DAD"/>
    <w:rsid w:val="0104303E"/>
    <w:rsid w:val="011028B3"/>
    <w:rsid w:val="01E07299"/>
    <w:rsid w:val="0211124F"/>
    <w:rsid w:val="029C58B6"/>
    <w:rsid w:val="02CE3596"/>
    <w:rsid w:val="02EA4873"/>
    <w:rsid w:val="038A3960"/>
    <w:rsid w:val="03CC3F79"/>
    <w:rsid w:val="040604A9"/>
    <w:rsid w:val="05162881"/>
    <w:rsid w:val="05980692"/>
    <w:rsid w:val="073D05DE"/>
    <w:rsid w:val="07660A33"/>
    <w:rsid w:val="080D4B60"/>
    <w:rsid w:val="09975029"/>
    <w:rsid w:val="09D65B51"/>
    <w:rsid w:val="09F2400E"/>
    <w:rsid w:val="09FC6C3A"/>
    <w:rsid w:val="0ADE3688"/>
    <w:rsid w:val="0AE93662"/>
    <w:rsid w:val="0B4A1363"/>
    <w:rsid w:val="0CF12BAD"/>
    <w:rsid w:val="0D5079C9"/>
    <w:rsid w:val="0F4F57A4"/>
    <w:rsid w:val="0FD115EF"/>
    <w:rsid w:val="111927C8"/>
    <w:rsid w:val="118C2F9A"/>
    <w:rsid w:val="127C6B6A"/>
    <w:rsid w:val="130628D8"/>
    <w:rsid w:val="13070B2A"/>
    <w:rsid w:val="131B2827"/>
    <w:rsid w:val="139327D8"/>
    <w:rsid w:val="139879D4"/>
    <w:rsid w:val="13D604FC"/>
    <w:rsid w:val="13EB044B"/>
    <w:rsid w:val="1447279B"/>
    <w:rsid w:val="14B42767"/>
    <w:rsid w:val="15CC7E09"/>
    <w:rsid w:val="15EA64E1"/>
    <w:rsid w:val="15EC2259"/>
    <w:rsid w:val="16B0772A"/>
    <w:rsid w:val="170D06D9"/>
    <w:rsid w:val="17103D25"/>
    <w:rsid w:val="17710C68"/>
    <w:rsid w:val="17B13B40"/>
    <w:rsid w:val="17BE19D3"/>
    <w:rsid w:val="17DF25E3"/>
    <w:rsid w:val="18846779"/>
    <w:rsid w:val="18D56471"/>
    <w:rsid w:val="18F465E3"/>
    <w:rsid w:val="19267830"/>
    <w:rsid w:val="19E020D4"/>
    <w:rsid w:val="1A9923D9"/>
    <w:rsid w:val="1BC709D8"/>
    <w:rsid w:val="1C16002F"/>
    <w:rsid w:val="1D2E3A39"/>
    <w:rsid w:val="1D997E65"/>
    <w:rsid w:val="1E692834"/>
    <w:rsid w:val="1EFD1033"/>
    <w:rsid w:val="1F5E5F75"/>
    <w:rsid w:val="1FCB1131"/>
    <w:rsid w:val="20B3409F"/>
    <w:rsid w:val="20D91840"/>
    <w:rsid w:val="215C6FE4"/>
    <w:rsid w:val="22837AA1"/>
    <w:rsid w:val="23025356"/>
    <w:rsid w:val="23476D20"/>
    <w:rsid w:val="23A26E72"/>
    <w:rsid w:val="23DD436C"/>
    <w:rsid w:val="23FD59BD"/>
    <w:rsid w:val="245F009A"/>
    <w:rsid w:val="26823BF0"/>
    <w:rsid w:val="26C427F2"/>
    <w:rsid w:val="2908648D"/>
    <w:rsid w:val="294F2DD3"/>
    <w:rsid w:val="2975663E"/>
    <w:rsid w:val="2A497CBC"/>
    <w:rsid w:val="2A731B75"/>
    <w:rsid w:val="2A8B6C6D"/>
    <w:rsid w:val="2B612949"/>
    <w:rsid w:val="2C9805ED"/>
    <w:rsid w:val="2CED26E7"/>
    <w:rsid w:val="2E500F2E"/>
    <w:rsid w:val="2E953036"/>
    <w:rsid w:val="2F041F69"/>
    <w:rsid w:val="2F0E4B96"/>
    <w:rsid w:val="2F9171D6"/>
    <w:rsid w:val="2F950E14"/>
    <w:rsid w:val="2FC11C09"/>
    <w:rsid w:val="315F16D9"/>
    <w:rsid w:val="3317670F"/>
    <w:rsid w:val="333746BC"/>
    <w:rsid w:val="346C0F8D"/>
    <w:rsid w:val="350D601C"/>
    <w:rsid w:val="35510746"/>
    <w:rsid w:val="35DE67BA"/>
    <w:rsid w:val="364D2B40"/>
    <w:rsid w:val="364D6DA2"/>
    <w:rsid w:val="36883480"/>
    <w:rsid w:val="36914A2B"/>
    <w:rsid w:val="3699743B"/>
    <w:rsid w:val="36CA3A99"/>
    <w:rsid w:val="36F037DC"/>
    <w:rsid w:val="375F2433"/>
    <w:rsid w:val="37720712"/>
    <w:rsid w:val="37971BCD"/>
    <w:rsid w:val="37DF17C6"/>
    <w:rsid w:val="37E666B0"/>
    <w:rsid w:val="389B56ED"/>
    <w:rsid w:val="390908A8"/>
    <w:rsid w:val="3914549F"/>
    <w:rsid w:val="3C265C15"/>
    <w:rsid w:val="3D5F4115"/>
    <w:rsid w:val="3E287A22"/>
    <w:rsid w:val="3E5A3954"/>
    <w:rsid w:val="3F2D2E17"/>
    <w:rsid w:val="404623E2"/>
    <w:rsid w:val="40646D0C"/>
    <w:rsid w:val="40873B7A"/>
    <w:rsid w:val="409475F1"/>
    <w:rsid w:val="40B11D0C"/>
    <w:rsid w:val="41DA54D8"/>
    <w:rsid w:val="426164FC"/>
    <w:rsid w:val="43223C0F"/>
    <w:rsid w:val="43574906"/>
    <w:rsid w:val="4368266F"/>
    <w:rsid w:val="43996CCD"/>
    <w:rsid w:val="45350C77"/>
    <w:rsid w:val="45B1654F"/>
    <w:rsid w:val="45EE5265"/>
    <w:rsid w:val="46BF2EEE"/>
    <w:rsid w:val="472B0583"/>
    <w:rsid w:val="47BB1907"/>
    <w:rsid w:val="484F2050"/>
    <w:rsid w:val="48B620CF"/>
    <w:rsid w:val="48FA020D"/>
    <w:rsid w:val="49B33C44"/>
    <w:rsid w:val="49CC1B61"/>
    <w:rsid w:val="4A6E2C61"/>
    <w:rsid w:val="4BFB76A0"/>
    <w:rsid w:val="4C4D68A6"/>
    <w:rsid w:val="4D1711C1"/>
    <w:rsid w:val="4D553C64"/>
    <w:rsid w:val="4DB7491F"/>
    <w:rsid w:val="4E0B149B"/>
    <w:rsid w:val="4F6F1974"/>
    <w:rsid w:val="503F29AA"/>
    <w:rsid w:val="50A0169A"/>
    <w:rsid w:val="50BE0A71"/>
    <w:rsid w:val="511C5981"/>
    <w:rsid w:val="51736DAF"/>
    <w:rsid w:val="51F0261E"/>
    <w:rsid w:val="53266566"/>
    <w:rsid w:val="5486504B"/>
    <w:rsid w:val="54A454D1"/>
    <w:rsid w:val="54CB7E3C"/>
    <w:rsid w:val="5632548A"/>
    <w:rsid w:val="58675193"/>
    <w:rsid w:val="58C83E84"/>
    <w:rsid w:val="598541D6"/>
    <w:rsid w:val="5A2A196D"/>
    <w:rsid w:val="5A6610C0"/>
    <w:rsid w:val="5B092532"/>
    <w:rsid w:val="5B0B0058"/>
    <w:rsid w:val="5B85605C"/>
    <w:rsid w:val="5BC01A76"/>
    <w:rsid w:val="5D0D6A04"/>
    <w:rsid w:val="5D2E6280"/>
    <w:rsid w:val="5D6677C8"/>
    <w:rsid w:val="5E6A32E8"/>
    <w:rsid w:val="5EFB71CC"/>
    <w:rsid w:val="5F7F1015"/>
    <w:rsid w:val="5F877AB3"/>
    <w:rsid w:val="613E7799"/>
    <w:rsid w:val="6200643D"/>
    <w:rsid w:val="62312EF8"/>
    <w:rsid w:val="63185A08"/>
    <w:rsid w:val="640721AA"/>
    <w:rsid w:val="652A5B5F"/>
    <w:rsid w:val="657F3B1C"/>
    <w:rsid w:val="659C092C"/>
    <w:rsid w:val="65C43C25"/>
    <w:rsid w:val="66544FA9"/>
    <w:rsid w:val="678C0773"/>
    <w:rsid w:val="68804644"/>
    <w:rsid w:val="698F3ABF"/>
    <w:rsid w:val="69DB53BE"/>
    <w:rsid w:val="6A250150"/>
    <w:rsid w:val="6B294E9F"/>
    <w:rsid w:val="6BAD2A66"/>
    <w:rsid w:val="6BF30DC0"/>
    <w:rsid w:val="6D834437"/>
    <w:rsid w:val="6DB46CBB"/>
    <w:rsid w:val="6E6623CD"/>
    <w:rsid w:val="6F887A72"/>
    <w:rsid w:val="6FBC2D74"/>
    <w:rsid w:val="711349E2"/>
    <w:rsid w:val="711772FF"/>
    <w:rsid w:val="713003C1"/>
    <w:rsid w:val="7141437C"/>
    <w:rsid w:val="71D23226"/>
    <w:rsid w:val="7315161C"/>
    <w:rsid w:val="73593BFF"/>
    <w:rsid w:val="73644352"/>
    <w:rsid w:val="738855F8"/>
    <w:rsid w:val="73C7661F"/>
    <w:rsid w:val="75FB0E7A"/>
    <w:rsid w:val="76086EF1"/>
    <w:rsid w:val="76960176"/>
    <w:rsid w:val="76F6721A"/>
    <w:rsid w:val="77157517"/>
    <w:rsid w:val="776C1A27"/>
    <w:rsid w:val="783E1615"/>
    <w:rsid w:val="78CA2EA9"/>
    <w:rsid w:val="78D1021F"/>
    <w:rsid w:val="7A1940E8"/>
    <w:rsid w:val="7A2F7467"/>
    <w:rsid w:val="7B4E6013"/>
    <w:rsid w:val="7B5C70B9"/>
    <w:rsid w:val="7BAC4AE8"/>
    <w:rsid w:val="7C066719"/>
    <w:rsid w:val="7C2E374F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1672</Words>
  <Characters>1828</Characters>
  <Lines>0</Lines>
  <Paragraphs>0</Paragraphs>
  <TotalTime>16</TotalTime>
  <ScaleCrop>false</ScaleCrop>
  <LinksUpToDate>false</LinksUpToDate>
  <CharactersWithSpaces>1893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2025-10-21T22:03:07Z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