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服务报告管理制度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4977204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目的</w:t>
      </w:r>
    </w:p>
    <w:p w14:paraId="773D1F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为规范公司运维服务报告的编制、评审、提交与归档过程，确保报告内容可靠、准确，能够有效反映服务级别协议的达成情况，支持管理层决策，并驱动服务的持续改进，特制定本制度。</w:t>
      </w:r>
    </w:p>
    <w:p w14:paraId="370BA0F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适用范围</w:t>
      </w:r>
    </w:p>
    <w:p w14:paraId="54AAF7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本制度适用于运维部为满足客户及内部管理需求，而进行的服务报告策划、生成与分发的全过程。</w:t>
      </w:r>
    </w:p>
    <w:p w14:paraId="6BC7C21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原则</w:t>
      </w:r>
    </w:p>
    <w:p w14:paraId="35917F7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准确性原则：报告数据必须真实、准确，分析结论应基于客观事实。</w:t>
      </w:r>
    </w:p>
    <w:p w14:paraId="70590B0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及时性原则：报告应按计划的时间周期准时生成与提交。</w:t>
      </w:r>
    </w:p>
    <w:p w14:paraId="1DBA18D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相关性原则：报告内容应聚焦于关键服务指标，满足不同受众的决策需求。</w:t>
      </w:r>
    </w:p>
    <w:p w14:paraId="0646244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持续改进原则：报告应能揭示服务差距，为制定纠正与预防措施提供输入。</w:t>
      </w:r>
    </w:p>
    <w:p w14:paraId="71373AD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岗位职责</w:t>
      </w:r>
    </w:p>
    <w:p w14:paraId="0A1C41A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运维项目经理</w:t>
      </w:r>
    </w:p>
    <w:p w14:paraId="1FC86F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负责识别报告需求、定义报告类型、编写《服务报告计划》、收集分析数据、编制《服务报告》，并推动报告分发与归档。</w:t>
      </w:r>
    </w:p>
    <w:p w14:paraId="5834FA8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运维部经理</w:t>
      </w:r>
    </w:p>
    <w:p w14:paraId="4B0640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负责审核并批准《服务报告计划》与《服务报告》，监督本制度的执行情况。</w:t>
      </w:r>
    </w:p>
    <w:p w14:paraId="4BB8A83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运维工程师</w:t>
      </w:r>
    </w:p>
    <w:p w14:paraId="005FFB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</w:t>
      </w:r>
      <w:r>
        <w:rPr>
          <w:rFonts w:hint="eastAsia"/>
          <w:lang w:val="en-US" w:eastAsia="zh-CN"/>
        </w:rPr>
        <w:t>提供准</w:t>
      </w:r>
      <w:r>
        <w:rPr>
          <w:rFonts w:hint="eastAsia"/>
        </w:rPr>
        <w:t>确、及时的基础流程数据，支持服务报告的编制。</w:t>
      </w:r>
    </w:p>
    <w:p w14:paraId="524718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引用依据</w:t>
      </w:r>
    </w:p>
    <w:p w14:paraId="0412AB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本制度的制定遵循并引用以下国家标准与行业规范：</w:t>
      </w:r>
    </w:p>
    <w:p w14:paraId="183DB69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GB/T 28827.1-2022 《信息技术服务 运行维护 第1部分：通用要求》</w:t>
      </w:r>
    </w:p>
    <w:p w14:paraId="2F61473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GB/T 28827.2-2012 《信息技术服务 运行维护 第2部分：交付规范》</w:t>
      </w:r>
    </w:p>
    <w:p w14:paraId="5A52D83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GB/T 28827.3-2012 《信息技术服务 运行维护 第3部分：应急响应规范》</w:t>
      </w:r>
    </w:p>
    <w:p w14:paraId="58F1F65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T/CESA 1299—2023 《信息技术服务 运行维护服务能力成熟度模型》</w:t>
      </w:r>
    </w:p>
    <w:p w14:paraId="53B3554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定义与术语</w:t>
      </w:r>
    </w:p>
    <w:p w14:paraId="006E497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服务报告</w:t>
      </w:r>
    </w:p>
    <w:p w14:paraId="271D1D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基于服务数据，对服务绩效进行分析和总结的正式文件，用于向客户和管理层沟通服务现状、趋势和改进措施。</w:t>
      </w:r>
    </w:p>
    <w:p w14:paraId="08F50C5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被动服务报告</w:t>
      </w:r>
    </w:p>
    <w:p w14:paraId="60C122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主要报告已经发生的服务绩效，包括与SLA目标的对比、不符合项、工作量特性及重大事件回顾等。</w:t>
      </w:r>
    </w:p>
    <w:p w14:paraId="1374158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主动服务报告</w:t>
      </w:r>
    </w:p>
    <w:p w14:paraId="4B1EEF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侧重于趋势分析和预警，预测潜在的服务风险或SLA违规，以支持预防性措施的制定。</w:t>
      </w:r>
    </w:p>
    <w:p w14:paraId="29EF697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进展服务报告</w:t>
      </w:r>
    </w:p>
    <w:p w14:paraId="0981FA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主要报告未来计划，包括工作量预测、变更计划及可能发生的事件预告。</w:t>
      </w:r>
    </w:p>
    <w:p w14:paraId="6E5A230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管理内容与要求</w:t>
      </w:r>
    </w:p>
    <w:p w14:paraId="63C7DB8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服务报告全生命周期管理</w:t>
      </w:r>
    </w:p>
    <w:p w14:paraId="12999DD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报告策划与定义</w:t>
      </w:r>
    </w:p>
    <w:p w14:paraId="561004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建立系统化的报告策划机制，确保服务报告的有效性和针对性：</w:t>
      </w:r>
    </w:p>
    <w:p w14:paraId="2FF8E8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需求分析：运维项目经理应定期（至少每半年一次）与客户及内部管理层沟通，识别报告需求变化，更新《服务报告需求清单》</w:t>
      </w:r>
    </w:p>
    <w:p w14:paraId="5F9E7A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受众分析：针对不同受众（如客户管理层、业务部门、技术团队）定义差异化的报告内容和呈现形式</w:t>
      </w:r>
    </w:p>
    <w:p w14:paraId="7AEB03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指标定义：基于服务级别协议（SLA）和运营级别协议（OLA），明确报告中需要包含的核心指标及其计算方式</w:t>
      </w:r>
    </w:p>
    <w:p w14:paraId="600D930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报告计划制定</w:t>
      </w:r>
    </w:p>
    <w:p w14:paraId="7930D2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报告矩阵：建立服务报告矩阵，明确各类报告的频次、提交时间、责任人和受众</w:t>
      </w:r>
    </w:p>
    <w:p w14:paraId="6A47F3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计划审批：《服务报告计划》需经运维部经理审核批准，重大变更需重新评审</w:t>
      </w:r>
    </w:p>
    <w:p w14:paraId="679D0C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计划发布：批准后的报告计划应在相关方间共享，确保各方预期一致</w:t>
      </w:r>
    </w:p>
    <w:p w14:paraId="258811FD">
      <w:pPr>
        <w:pStyle w:val="30"/>
        <w:bidi w:val="0"/>
        <w:rPr>
          <w:rFonts w:hint="eastAsia"/>
        </w:rPr>
      </w:pPr>
      <w:r>
        <w:rPr>
          <w:rFonts w:hint="eastAsia"/>
        </w:rPr>
        <w:t>报告类型与内容规范</w:t>
      </w:r>
    </w:p>
    <w:p w14:paraId="454888A7">
      <w:pPr>
        <w:pStyle w:val="31"/>
        <w:bidi w:val="0"/>
        <w:rPr>
          <w:rFonts w:hint="eastAsia"/>
        </w:rPr>
      </w:pPr>
      <w:r>
        <w:rPr>
          <w:rFonts w:hint="eastAsia"/>
        </w:rPr>
        <w:t>报告分类体系</w:t>
      </w:r>
    </w:p>
    <w:p w14:paraId="70C15A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</w:rPr>
        <w:t>建立完整的报告分类体系，满足不同管理需求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服务报告分类体系如表4-1所示。</w:t>
      </w:r>
    </w:p>
    <w:p w14:paraId="5C4443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SEQ 表 \* ARABIC  \s 1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服务报告分类体系表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379E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57E61C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报告类型</w:t>
            </w:r>
          </w:p>
        </w:tc>
        <w:tc>
          <w:tcPr>
            <w:tcW w:w="2841" w:type="dxa"/>
          </w:tcPr>
          <w:p w14:paraId="37C592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核心内容</w:t>
            </w:r>
          </w:p>
        </w:tc>
        <w:tc>
          <w:tcPr>
            <w:tcW w:w="2841" w:type="dxa"/>
          </w:tcPr>
          <w:p w14:paraId="0D0B04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提交频次</w:t>
            </w:r>
          </w:p>
        </w:tc>
      </w:tr>
      <w:tr w14:paraId="0D80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552CB7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运维绩效报告</w:t>
            </w:r>
          </w:p>
        </w:tc>
        <w:tc>
          <w:tcPr>
            <w:tcW w:w="2841" w:type="dxa"/>
          </w:tcPr>
          <w:p w14:paraId="494000D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SLA达成率情况</w:t>
            </w:r>
          </w:p>
        </w:tc>
        <w:tc>
          <w:tcPr>
            <w:tcW w:w="2841" w:type="dxa"/>
          </w:tcPr>
          <w:p w14:paraId="53BAABF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 w14:paraId="191EC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666ED1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服务质量报告</w:t>
            </w:r>
          </w:p>
        </w:tc>
        <w:tc>
          <w:tcPr>
            <w:tcW w:w="2841" w:type="dxa"/>
          </w:tcPr>
          <w:p w14:paraId="7360351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可用性、连续性、容量报告</w:t>
            </w:r>
          </w:p>
        </w:tc>
        <w:tc>
          <w:tcPr>
            <w:tcW w:w="2841" w:type="dxa"/>
          </w:tcPr>
          <w:p w14:paraId="6016D16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 w14:paraId="1C6FD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203C85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风险预警报告</w:t>
            </w:r>
          </w:p>
        </w:tc>
        <w:tc>
          <w:tcPr>
            <w:tcW w:w="2841" w:type="dxa"/>
          </w:tcPr>
          <w:p w14:paraId="22C57C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趋势分析、风险识别</w:t>
            </w:r>
          </w:p>
        </w:tc>
        <w:tc>
          <w:tcPr>
            <w:tcW w:w="2841" w:type="dxa"/>
          </w:tcPr>
          <w:p w14:paraId="7987F6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 w14:paraId="6E437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2573A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改进进展报告</w:t>
            </w:r>
          </w:p>
        </w:tc>
        <w:tc>
          <w:tcPr>
            <w:tcW w:w="2841" w:type="dxa"/>
          </w:tcPr>
          <w:p w14:paraId="0E1CFA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改进措施执行情况</w:t>
            </w:r>
          </w:p>
        </w:tc>
        <w:tc>
          <w:tcPr>
            <w:tcW w:w="2841" w:type="dxa"/>
          </w:tcPr>
          <w:p w14:paraId="1D005E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 w14:paraId="47FB9F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</w:p>
    <w:p w14:paraId="4FDB1698">
      <w:pPr>
        <w:pStyle w:val="31"/>
        <w:bidi w:val="0"/>
        <w:rPr>
          <w:rFonts w:hint="eastAsia"/>
        </w:rPr>
      </w:pPr>
      <w:r>
        <w:rPr>
          <w:rFonts w:hint="eastAsia"/>
        </w:rPr>
        <w:t>报告内容标准</w:t>
      </w:r>
    </w:p>
    <w:p w14:paraId="740C67C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各类报告应包含以下核心内容：</w:t>
      </w:r>
    </w:p>
    <w:p w14:paraId="37EC30D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执行摘要：关键发现和建议的概要说明</w:t>
      </w:r>
    </w:p>
    <w:p w14:paraId="5FEAA48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绩效分析：与目标的对比分析、趋势识别</w:t>
      </w:r>
    </w:p>
    <w:p w14:paraId="695F9CA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根本原因分析：重大偏差的根本原因分析</w:t>
      </w:r>
    </w:p>
    <w:p w14:paraId="5933774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改进建议：具体的纠正和预防措施建议</w:t>
      </w:r>
    </w:p>
    <w:p w14:paraId="2CC892F6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行动计划：明确的责任分工和时间表</w:t>
      </w:r>
    </w:p>
    <w:p w14:paraId="58A882E2">
      <w:pPr>
        <w:pStyle w:val="30"/>
        <w:bidi w:val="0"/>
        <w:rPr>
          <w:rFonts w:hint="eastAsia"/>
        </w:rPr>
      </w:pPr>
      <w:r>
        <w:rPr>
          <w:rFonts w:hint="eastAsia"/>
        </w:rPr>
        <w:t>数据质量管理</w:t>
      </w:r>
    </w:p>
    <w:p w14:paraId="7B906904">
      <w:pPr>
        <w:pStyle w:val="31"/>
        <w:bidi w:val="0"/>
        <w:rPr>
          <w:rFonts w:hint="eastAsia"/>
        </w:rPr>
      </w:pPr>
      <w:r>
        <w:rPr>
          <w:rFonts w:hint="eastAsia"/>
        </w:rPr>
        <w:t>4.3.1 数据采集规范</w:t>
      </w:r>
    </w:p>
    <w:p w14:paraId="3EE9DE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数据源管理：建立数据源清单，明确各数据源的责任人和质量要求</w:t>
      </w:r>
    </w:p>
    <w:p w14:paraId="4F52D7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采集频率：根据指标特性设定合理的采集频率，确保数据时效性</w:t>
      </w:r>
    </w:p>
    <w:p w14:paraId="2D8205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数据验证：建立数据验证机制，包括完整性检查、合理性校验等</w:t>
      </w:r>
    </w:p>
    <w:p w14:paraId="54C83F9F">
      <w:pPr>
        <w:pStyle w:val="31"/>
        <w:bidi w:val="0"/>
        <w:rPr>
          <w:rFonts w:hint="eastAsia"/>
        </w:rPr>
      </w:pPr>
      <w:r>
        <w:rPr>
          <w:rFonts w:hint="eastAsia"/>
        </w:rPr>
        <w:t>数据质量控制</w:t>
      </w:r>
    </w:p>
    <w:p w14:paraId="3DA740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质量指标：设定数据准确性、完整性、及时性等质量指标</w:t>
      </w:r>
    </w:p>
    <w:p w14:paraId="1AACA7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异常处理：建立数据异常识别和处理流程</w:t>
      </w:r>
    </w:p>
    <w:p w14:paraId="465F19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质量审计：定期对数据质量进行审计，确保数据可靠性</w:t>
      </w:r>
    </w:p>
    <w:p w14:paraId="490F16F7">
      <w:pPr>
        <w:pStyle w:val="30"/>
        <w:bidi w:val="0"/>
        <w:rPr>
          <w:rFonts w:hint="eastAsia"/>
        </w:rPr>
      </w:pPr>
      <w:r>
        <w:rPr>
          <w:rFonts w:hint="eastAsia"/>
        </w:rPr>
        <w:t>报告生成与评审</w:t>
      </w:r>
    </w:p>
    <w:p w14:paraId="0CF369B6">
      <w:pPr>
        <w:pStyle w:val="31"/>
        <w:bidi w:val="0"/>
        <w:rPr>
          <w:rFonts w:hint="eastAsia"/>
        </w:rPr>
      </w:pPr>
      <w:bookmarkStart w:id="9" w:name="_GoBack"/>
      <w:bookmarkEnd w:id="9"/>
      <w:r>
        <w:rPr>
          <w:rFonts w:hint="eastAsia"/>
        </w:rPr>
        <w:t>报告生成流程</w:t>
      </w:r>
    </w:p>
    <w:p w14:paraId="259943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模板化管理：建立标准化的报告模板，确保格式统一</w:t>
      </w:r>
    </w:p>
    <w:p w14:paraId="6BE890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自动化支持：尽可能采用自动化工具生成报告，减少人工错误</w:t>
      </w:r>
    </w:p>
    <w:p w14:paraId="092015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版本控制：建立报告版本管理机制，确保可追溯性</w:t>
      </w:r>
    </w:p>
    <w:p w14:paraId="571C73C2">
      <w:pPr>
        <w:pStyle w:val="31"/>
        <w:bidi w:val="0"/>
        <w:rPr>
          <w:rFonts w:hint="eastAsia"/>
        </w:rPr>
      </w:pPr>
      <w:r>
        <w:rPr>
          <w:rFonts w:hint="eastAsia"/>
        </w:rPr>
        <w:t>多级评审机制</w:t>
      </w:r>
    </w:p>
    <w:p w14:paraId="7A6014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建立分层次的报告评审机制：</w:t>
      </w:r>
    </w:p>
    <w:p w14:paraId="595668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技术评审：由运维工程师验证数据准确性和计算方法</w:t>
      </w:r>
    </w:p>
    <w:p w14:paraId="3FD0B5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管理评审：由运维部经理审核分析结论和建议的合理性</w:t>
      </w:r>
    </w:p>
    <w:p w14:paraId="2CA579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客户确认：关键报告需经客户确认为最终版本</w:t>
      </w:r>
    </w:p>
    <w:p w14:paraId="46AFBFCF">
      <w:pPr>
        <w:pStyle w:val="30"/>
        <w:bidi w:val="0"/>
        <w:rPr>
          <w:rFonts w:hint="eastAsia"/>
        </w:rPr>
      </w:pPr>
      <w:r>
        <w:rPr>
          <w:rFonts w:hint="eastAsia"/>
        </w:rPr>
        <w:t>报告分发与使用</w:t>
      </w:r>
    </w:p>
    <w:p w14:paraId="64A4E103">
      <w:pPr>
        <w:pStyle w:val="31"/>
        <w:bidi w:val="0"/>
        <w:rPr>
          <w:rFonts w:hint="eastAsia"/>
        </w:rPr>
      </w:pPr>
      <w:r>
        <w:rPr>
          <w:rFonts w:hint="eastAsia"/>
        </w:rPr>
        <w:t>分发管理</w:t>
      </w:r>
    </w:p>
    <w:p w14:paraId="1CE7FF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分发清单：建立报告分发矩阵，明确各报告的接收人和分发方式</w:t>
      </w:r>
    </w:p>
    <w:p w14:paraId="349F98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保密管理：根据信息敏感度设定相应的保密级别和传播范围</w:t>
      </w:r>
    </w:p>
    <w:p w14:paraId="245992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反馈收集：建立报告反馈机制，持续改进报告质量</w:t>
      </w:r>
    </w:p>
    <w:p w14:paraId="086F7EFF">
      <w:pPr>
        <w:pStyle w:val="31"/>
        <w:bidi w:val="0"/>
        <w:rPr>
          <w:rFonts w:hint="eastAsia"/>
        </w:rPr>
      </w:pPr>
      <w:r>
        <w:rPr>
          <w:rFonts w:hint="eastAsia"/>
        </w:rPr>
        <w:t>效果评估</w:t>
      </w:r>
    </w:p>
    <w:p w14:paraId="4DF739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使用情况跟踪：监控报告的使用情况和效果</w:t>
      </w:r>
    </w:p>
    <w:p w14:paraId="05FA8B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价值评估：定期评估报告对决策支持的贡献度</w:t>
      </w:r>
    </w:p>
    <w:p w14:paraId="6FBC70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持续优化：基于使用反馈持续优化报告内容和形式</w:t>
      </w:r>
    </w:p>
    <w:p w14:paraId="165CA6F4">
      <w:pPr>
        <w:pStyle w:val="30"/>
        <w:bidi w:val="0"/>
        <w:rPr>
          <w:rFonts w:hint="eastAsia"/>
        </w:rPr>
      </w:pPr>
      <w:r>
        <w:rPr>
          <w:rFonts w:hint="eastAsia"/>
        </w:rPr>
        <w:t>报告归档与知识管理</w:t>
      </w:r>
    </w:p>
    <w:p w14:paraId="27D71764">
      <w:pPr>
        <w:pStyle w:val="31"/>
        <w:bidi w:val="0"/>
        <w:rPr>
          <w:rFonts w:hint="eastAsia"/>
        </w:rPr>
      </w:pPr>
      <w:r>
        <w:rPr>
          <w:rFonts w:hint="eastAsia"/>
        </w:rPr>
        <w:t>归档管理</w:t>
      </w:r>
    </w:p>
    <w:p w14:paraId="5A72AF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归档标准：明确归档范围、保存期限和存储要求</w:t>
      </w:r>
    </w:p>
    <w:p w14:paraId="1CB434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检索机制：建立便捷的报告检索和查阅机制</w:t>
      </w:r>
    </w:p>
    <w:p w14:paraId="584128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安全控制：实施适当的访问权限控制，确保信息安全</w:t>
      </w:r>
    </w:p>
    <w:p w14:paraId="5A1E7ED7">
      <w:pPr>
        <w:pStyle w:val="31"/>
        <w:bidi w:val="0"/>
        <w:rPr>
          <w:rFonts w:hint="eastAsia"/>
        </w:rPr>
      </w:pPr>
      <w:r>
        <w:rPr>
          <w:rFonts w:hint="eastAsia"/>
        </w:rPr>
        <w:t>知识转化</w:t>
      </w:r>
    </w:p>
    <w:p w14:paraId="024AF2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最佳实践：从报告分析中提炼最佳实践并推广应用</w:t>
      </w:r>
    </w:p>
    <w:p w14:paraId="0102CC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经验教训：将重大问题的经验教训纳入知识库</w:t>
      </w:r>
    </w:p>
    <w:p w14:paraId="3BFDF0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模式识别：通过历史报告识别服务管理的规律和模式</w:t>
      </w:r>
    </w:p>
    <w:p w14:paraId="121A892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关键控制点与测量指标</w:t>
      </w:r>
    </w:p>
    <w:p w14:paraId="14DF5C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关键控制点：报告数据的准确性、报告编制的及时性、报告评审的规范性。</w:t>
      </w:r>
    </w:p>
    <w:p w14:paraId="5402F2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过程测量指标：服务报告提交及时率=(按时提交的服务报告数量 / 应提交的服务报告总数) × 100%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 w14:paraId="0DF3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0F3BE4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 w14:paraId="28F79B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 w14:paraId="66256F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313D7B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7583A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0F5B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13B0B5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 w14:paraId="1E841C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服务报告提交及时率</w:t>
            </w:r>
          </w:p>
        </w:tc>
        <w:tc>
          <w:tcPr>
            <w:tcW w:w="3427" w:type="dxa"/>
          </w:tcPr>
          <w:p w14:paraId="1BD91A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按时提交的服务报告数量/应提交的服务报告总数)×100%</w:t>
            </w:r>
          </w:p>
        </w:tc>
        <w:tc>
          <w:tcPr>
            <w:tcW w:w="1107" w:type="dxa"/>
          </w:tcPr>
          <w:p w14:paraId="2FCE6E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 w14:paraId="55CD9B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3" w:name="bookmark3"/>
      <w:bookmarkEnd w:id="3"/>
      <w:bookmarkStart w:id="4" w:name="_Toc26732"/>
      <w:bookmarkStart w:id="5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4"/>
      <w:bookmarkEnd w:id="5"/>
    </w:p>
    <w:p w14:paraId="282C941D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运维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bookmark14"/>
      <w:bookmarkEnd w:id="6"/>
      <w:bookmarkStart w:id="7" w:name="_Toc3387"/>
      <w:r>
        <w:rPr>
          <w:rFonts w:hint="eastAsia"/>
          <w:lang w:val="en-US" w:eastAsia="zh-CN"/>
        </w:rPr>
        <w:t>附件</w:t>
      </w:r>
      <w:bookmarkEnd w:id="7"/>
    </w:p>
    <w:p w14:paraId="78676E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16438"/>
      <w:r>
        <w:rPr>
          <w:rFonts w:hint="eastAsia"/>
          <w:lang w:val="en-US" w:eastAsia="zh-CN"/>
        </w:rPr>
        <w:t>记录</w:t>
      </w:r>
      <w:bookmarkEnd w:id="8"/>
    </w:p>
    <w:p w14:paraId="05F117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7990EF0"/>
    <w:multiLevelType w:val="singleLevel"/>
    <w:tmpl w:val="E7990E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A3EEEB0"/>
    <w:multiLevelType w:val="singleLevel"/>
    <w:tmpl w:val="EA3EEE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3339532"/>
    <w:multiLevelType w:val="singleLevel"/>
    <w:tmpl w:val="333395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01AE9"/>
    <w:rsid w:val="0055574E"/>
    <w:rsid w:val="00CF32D6"/>
    <w:rsid w:val="0104303E"/>
    <w:rsid w:val="01B666C0"/>
    <w:rsid w:val="01E07299"/>
    <w:rsid w:val="0211124F"/>
    <w:rsid w:val="02447828"/>
    <w:rsid w:val="029C58B6"/>
    <w:rsid w:val="02CE3596"/>
    <w:rsid w:val="02EA4873"/>
    <w:rsid w:val="02EE055C"/>
    <w:rsid w:val="02F5768A"/>
    <w:rsid w:val="040604A9"/>
    <w:rsid w:val="05044782"/>
    <w:rsid w:val="05980692"/>
    <w:rsid w:val="05A76A4C"/>
    <w:rsid w:val="06E4311A"/>
    <w:rsid w:val="073D05DE"/>
    <w:rsid w:val="07660A33"/>
    <w:rsid w:val="080D4B60"/>
    <w:rsid w:val="098970BB"/>
    <w:rsid w:val="09975029"/>
    <w:rsid w:val="09D65B51"/>
    <w:rsid w:val="09F2400E"/>
    <w:rsid w:val="09FC6C3A"/>
    <w:rsid w:val="0CF12BAD"/>
    <w:rsid w:val="0D8633EB"/>
    <w:rsid w:val="0F4F57A4"/>
    <w:rsid w:val="0F5F3EF3"/>
    <w:rsid w:val="0FD115EF"/>
    <w:rsid w:val="127C6B6A"/>
    <w:rsid w:val="130628D8"/>
    <w:rsid w:val="131B2827"/>
    <w:rsid w:val="139879D4"/>
    <w:rsid w:val="13D604FC"/>
    <w:rsid w:val="14B42767"/>
    <w:rsid w:val="15CC7E09"/>
    <w:rsid w:val="15EC2259"/>
    <w:rsid w:val="16B0772A"/>
    <w:rsid w:val="170D06D9"/>
    <w:rsid w:val="17103D25"/>
    <w:rsid w:val="17326391"/>
    <w:rsid w:val="17710C68"/>
    <w:rsid w:val="17BE19D3"/>
    <w:rsid w:val="17DF25E3"/>
    <w:rsid w:val="18846779"/>
    <w:rsid w:val="18F465E3"/>
    <w:rsid w:val="19E020D4"/>
    <w:rsid w:val="1A7B1DFD"/>
    <w:rsid w:val="1A9923D9"/>
    <w:rsid w:val="1BBD6855"/>
    <w:rsid w:val="1BC709D8"/>
    <w:rsid w:val="1D997E65"/>
    <w:rsid w:val="1E692834"/>
    <w:rsid w:val="1EFD1033"/>
    <w:rsid w:val="1FCB1131"/>
    <w:rsid w:val="1FF42436"/>
    <w:rsid w:val="20D91840"/>
    <w:rsid w:val="215C6FE4"/>
    <w:rsid w:val="23A26E72"/>
    <w:rsid w:val="23DD436C"/>
    <w:rsid w:val="23FD59BD"/>
    <w:rsid w:val="26C427F2"/>
    <w:rsid w:val="2908648D"/>
    <w:rsid w:val="294F2DD3"/>
    <w:rsid w:val="2975663E"/>
    <w:rsid w:val="29FA2D3E"/>
    <w:rsid w:val="2A8B6C6D"/>
    <w:rsid w:val="2B612949"/>
    <w:rsid w:val="2C6551D8"/>
    <w:rsid w:val="2E500F2E"/>
    <w:rsid w:val="2E8B21B7"/>
    <w:rsid w:val="2F041F69"/>
    <w:rsid w:val="2FC11C09"/>
    <w:rsid w:val="31547DAA"/>
    <w:rsid w:val="333746BC"/>
    <w:rsid w:val="346C0F8D"/>
    <w:rsid w:val="350D601C"/>
    <w:rsid w:val="35CD1307"/>
    <w:rsid w:val="35DE67BA"/>
    <w:rsid w:val="366A3C87"/>
    <w:rsid w:val="36883480"/>
    <w:rsid w:val="36914A2B"/>
    <w:rsid w:val="3699743B"/>
    <w:rsid w:val="375F2433"/>
    <w:rsid w:val="37971BCD"/>
    <w:rsid w:val="37DF17C6"/>
    <w:rsid w:val="37E666B0"/>
    <w:rsid w:val="380D006D"/>
    <w:rsid w:val="390E2362"/>
    <w:rsid w:val="3914549F"/>
    <w:rsid w:val="39240A54"/>
    <w:rsid w:val="394A0EC1"/>
    <w:rsid w:val="39FF3A59"/>
    <w:rsid w:val="3AC23405"/>
    <w:rsid w:val="3C265C15"/>
    <w:rsid w:val="3C9E6E5E"/>
    <w:rsid w:val="3D5F4115"/>
    <w:rsid w:val="3E287A22"/>
    <w:rsid w:val="3E43485C"/>
    <w:rsid w:val="3E5A3954"/>
    <w:rsid w:val="3F2D2E17"/>
    <w:rsid w:val="40153FD6"/>
    <w:rsid w:val="40646D0C"/>
    <w:rsid w:val="40873B7A"/>
    <w:rsid w:val="40B11D0C"/>
    <w:rsid w:val="418B4EC6"/>
    <w:rsid w:val="41A03D74"/>
    <w:rsid w:val="41DA54D8"/>
    <w:rsid w:val="426164FC"/>
    <w:rsid w:val="43223C0F"/>
    <w:rsid w:val="4368266F"/>
    <w:rsid w:val="43711CEA"/>
    <w:rsid w:val="43996CCD"/>
    <w:rsid w:val="43AF64F0"/>
    <w:rsid w:val="45EE5265"/>
    <w:rsid w:val="46BF2EEE"/>
    <w:rsid w:val="472B0583"/>
    <w:rsid w:val="473B751F"/>
    <w:rsid w:val="479C1204"/>
    <w:rsid w:val="47BB1907"/>
    <w:rsid w:val="484F2050"/>
    <w:rsid w:val="487C587B"/>
    <w:rsid w:val="48EC3D42"/>
    <w:rsid w:val="48FA020D"/>
    <w:rsid w:val="49B33C44"/>
    <w:rsid w:val="49CC1B61"/>
    <w:rsid w:val="4A301A0D"/>
    <w:rsid w:val="4B502367"/>
    <w:rsid w:val="4BFB76A0"/>
    <w:rsid w:val="4D1711C1"/>
    <w:rsid w:val="4E0B149B"/>
    <w:rsid w:val="4E962786"/>
    <w:rsid w:val="4F6F1974"/>
    <w:rsid w:val="4FE45773"/>
    <w:rsid w:val="4FF05EC6"/>
    <w:rsid w:val="503F29AA"/>
    <w:rsid w:val="50BE0A71"/>
    <w:rsid w:val="511C5981"/>
    <w:rsid w:val="51F0261E"/>
    <w:rsid w:val="52794D53"/>
    <w:rsid w:val="52C25573"/>
    <w:rsid w:val="538C7778"/>
    <w:rsid w:val="547E7DFE"/>
    <w:rsid w:val="5486504B"/>
    <w:rsid w:val="54CB7E3C"/>
    <w:rsid w:val="5632548A"/>
    <w:rsid w:val="58675193"/>
    <w:rsid w:val="597D4C6F"/>
    <w:rsid w:val="59C4508E"/>
    <w:rsid w:val="5A6610C0"/>
    <w:rsid w:val="5B0B0058"/>
    <w:rsid w:val="5B244A46"/>
    <w:rsid w:val="5B85605C"/>
    <w:rsid w:val="5D0D6A04"/>
    <w:rsid w:val="5D2E6280"/>
    <w:rsid w:val="5D6677C8"/>
    <w:rsid w:val="5E437B09"/>
    <w:rsid w:val="5E6A32E8"/>
    <w:rsid w:val="5EFB71CC"/>
    <w:rsid w:val="5F7F1015"/>
    <w:rsid w:val="613E7799"/>
    <w:rsid w:val="6200643D"/>
    <w:rsid w:val="62312EF8"/>
    <w:rsid w:val="62D578C9"/>
    <w:rsid w:val="63C705E7"/>
    <w:rsid w:val="640721AA"/>
    <w:rsid w:val="652A5B5F"/>
    <w:rsid w:val="654B3E73"/>
    <w:rsid w:val="657F3B1C"/>
    <w:rsid w:val="659C092C"/>
    <w:rsid w:val="65C43C25"/>
    <w:rsid w:val="678C0773"/>
    <w:rsid w:val="67CD5013"/>
    <w:rsid w:val="68804644"/>
    <w:rsid w:val="6925369D"/>
    <w:rsid w:val="6951757E"/>
    <w:rsid w:val="698F3ABF"/>
    <w:rsid w:val="69DB53BE"/>
    <w:rsid w:val="6AF16D9B"/>
    <w:rsid w:val="6B60619E"/>
    <w:rsid w:val="6BAD2A66"/>
    <w:rsid w:val="6BF30DC0"/>
    <w:rsid w:val="6D730EC7"/>
    <w:rsid w:val="6D834437"/>
    <w:rsid w:val="6DB46CBB"/>
    <w:rsid w:val="6E6623CD"/>
    <w:rsid w:val="6F887A72"/>
    <w:rsid w:val="6F8A5598"/>
    <w:rsid w:val="711772FF"/>
    <w:rsid w:val="713003C1"/>
    <w:rsid w:val="7141437C"/>
    <w:rsid w:val="714F601B"/>
    <w:rsid w:val="73593BFF"/>
    <w:rsid w:val="73644352"/>
    <w:rsid w:val="739F1902"/>
    <w:rsid w:val="73C7661F"/>
    <w:rsid w:val="73CC1FC1"/>
    <w:rsid w:val="74B706C6"/>
    <w:rsid w:val="750D315E"/>
    <w:rsid w:val="76960176"/>
    <w:rsid w:val="76CF41D8"/>
    <w:rsid w:val="76F6721A"/>
    <w:rsid w:val="776C1A27"/>
    <w:rsid w:val="78160D21"/>
    <w:rsid w:val="783E1615"/>
    <w:rsid w:val="78CA2EA9"/>
    <w:rsid w:val="78D1021F"/>
    <w:rsid w:val="792409F5"/>
    <w:rsid w:val="7A1940E8"/>
    <w:rsid w:val="7A2F7467"/>
    <w:rsid w:val="7AF0358A"/>
    <w:rsid w:val="7B4E6013"/>
    <w:rsid w:val="7B5C70B9"/>
    <w:rsid w:val="7C066719"/>
    <w:rsid w:val="7C434C07"/>
    <w:rsid w:val="7C7E6484"/>
    <w:rsid w:val="7D0C7F34"/>
    <w:rsid w:val="7D1D3584"/>
    <w:rsid w:val="7DA168CE"/>
    <w:rsid w:val="7DF905A7"/>
    <w:rsid w:val="7E01736D"/>
    <w:rsid w:val="7E086FD3"/>
    <w:rsid w:val="7EBF6908"/>
    <w:rsid w:val="7EEF3669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432</Words>
  <Characters>508</Characters>
  <Lines>0</Lines>
  <Paragraphs>0</Paragraphs>
  <TotalTime>4</TotalTime>
  <ScaleCrop>false</ScaleCrop>
  <LinksUpToDate>false</LinksUpToDate>
  <CharactersWithSpaces>559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2025-10-21T22:14:53Z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