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变更管理制度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5186337A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5D67369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阿克苏智汇人才服务有限公司运维服务中的变更管理活动，确保所有变更在受控方式下进行评估、审批与实施，杜绝非授权变更，降低变更风险及对业务运营的影响，保障服务稳定性与连续性，特制定本制度。</w:t>
      </w:r>
    </w:p>
    <w:p w14:paraId="5797391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</w:t>
      </w:r>
    </w:p>
    <w:p w14:paraId="7CA2766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本制度适用于公司运维部及其它相关职能部门（如研发部、质量部）所管理的所有信息系统、基础设施及服务的各类变更。</w:t>
      </w:r>
    </w:p>
    <w:p w14:paraId="0E71625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原则</w:t>
      </w:r>
    </w:p>
    <w:p w14:paraId="321577A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受控原则：所有变更必须遵循本流程，禁止未经授权的变更。</w:t>
      </w:r>
    </w:p>
    <w:p w14:paraId="6E4DA01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风险评估原则：所有变更必须经过评估，明确其对业务、服务及资源的影响与风险。</w:t>
      </w:r>
    </w:p>
    <w:p w14:paraId="6662B91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分类分级原则：根据变更影响范围与风险，实施分类、分级审批与管理。</w:t>
      </w:r>
    </w:p>
    <w:p w14:paraId="18E3995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 记录与追溯原则：所有变更活动必须被完整记录，确保过程可追溯。</w:t>
      </w:r>
    </w:p>
    <w:p w14:paraId="4E1362D9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岗位职责</w:t>
      </w:r>
    </w:p>
    <w:p w14:paraId="6ACD4097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运维部经理</w:t>
      </w:r>
    </w:p>
    <w:p w14:paraId="36BEE20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负责变更管理流程的整体协调与推进。</w:t>
      </w:r>
    </w:p>
    <w:p w14:paraId="5A342862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负责变更的接收、初步筛选、分类与记录。</w:t>
      </w:r>
    </w:p>
    <w:p w14:paraId="21BB7A0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组织或参与变更的评估，制定变更计划与方案。</w:t>
      </w:r>
    </w:p>
    <w:p w14:paraId="37721E4D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协调资源，督促变更的实施，并负责变更的关闭与事后评审。</w:t>
      </w:r>
    </w:p>
    <w:p w14:paraId="0F55659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确保变更结果被准确更新至配置管理数据库（CMDB）。</w:t>
      </w:r>
    </w:p>
    <w:p w14:paraId="62EFDE1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对涉及服务级别协议（SLA）的重大变更与紧急变更进行最终确认与审批。</w:t>
      </w:r>
    </w:p>
    <w:p w14:paraId="5F4D38AC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</w:t>
      </w:r>
    </w:p>
    <w:p w14:paraId="18DF2AC1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根据已批准的变更计划，安全、准确地执行变更操作。</w:t>
      </w:r>
    </w:p>
    <w:p w14:paraId="6FABA973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向运维工程师汇报实施进展与结果。</w:t>
      </w:r>
    </w:p>
    <w:p w14:paraId="45B56195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执行变更失败时的回退方案。</w:t>
      </w:r>
    </w:p>
    <w:p w14:paraId="410BC5B2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</w:t>
      </w:r>
    </w:p>
    <w:p w14:paraId="4FC5E1E5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负责对重大、紧急变更进行快速评估与审批。</w:t>
      </w:r>
    </w:p>
    <w:p w14:paraId="41154126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评估变更的潜在影响、风险与资源需求。</w:t>
      </w:r>
    </w:p>
    <w:p w14:paraId="22A8A907">
      <w:pPr>
        <w:pStyle w:val="29"/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协助运维工程师确定变更的优先级。</w:t>
      </w:r>
    </w:p>
    <w:p w14:paraId="0389C7C0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引用依据</w:t>
      </w:r>
    </w:p>
    <w:p w14:paraId="3F6F44E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 w14:paraId="2A121F55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7EC5A33B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25F97E4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147E3D90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1D78DE90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定义与术语</w:t>
      </w:r>
    </w:p>
    <w:p w14:paraId="0BF283EF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</w:t>
      </w:r>
    </w:p>
    <w:p w14:paraId="75F8FA2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在运维服务过程中，对任何配置项进行的增补、移除、修改等所有改变。</w:t>
      </w:r>
    </w:p>
    <w:p w14:paraId="54793DE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一般变更</w:t>
      </w:r>
    </w:p>
    <w:p w14:paraId="39BC1EF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风险与影响较低，有标准操作流程，不会对系统持续运行造成实质性影响的变更。</w:t>
      </w:r>
    </w:p>
    <w:p w14:paraId="2A12CEC8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</w:t>
      </w:r>
    </w:p>
    <w:p w14:paraId="5337BDB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影响范围广、风险高，需要详细方案、测试及严格审批的变更，如系统架构变更、大版本升级等。</w:t>
      </w:r>
    </w:p>
    <w:p w14:paraId="0DA8147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</w:t>
      </w:r>
    </w:p>
    <w:p w14:paraId="6ABFC03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为解决重大故障或满足紧急业务需求，必须立即实施的变更，其流程在保证受控的前提下予以简化。</w:t>
      </w:r>
    </w:p>
    <w:p w14:paraId="0DFB5BA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回退计划：当变更实施失败时，用于将系统恢复到变更前状态的详细操作方案。</w:t>
      </w:r>
    </w:p>
    <w:p w14:paraId="07B8CD35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管理内容与要求</w:t>
      </w:r>
    </w:p>
    <w:p w14:paraId="499A297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变更分类与级别判定</w:t>
      </w:r>
    </w:p>
    <w:p w14:paraId="6BDB3CB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所有变更请求必须根据其业务影响、风险与紧急程度，按以下标准进行分类，并执行相应流程：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3808"/>
        <w:gridCol w:w="2841"/>
      </w:tblGrid>
      <w:tr w14:paraId="190C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4D6C42B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变更类型</w:t>
            </w:r>
          </w:p>
        </w:tc>
        <w:tc>
          <w:tcPr>
            <w:tcW w:w="3808" w:type="dxa"/>
          </w:tcPr>
          <w:p w14:paraId="62D4638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影响与风险</w:t>
            </w:r>
          </w:p>
        </w:tc>
        <w:tc>
          <w:tcPr>
            <w:tcW w:w="2841" w:type="dxa"/>
          </w:tcPr>
          <w:p w14:paraId="7359AB23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审批要求</w:t>
            </w:r>
          </w:p>
        </w:tc>
      </w:tr>
      <w:tr w14:paraId="111D0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191FF8E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一般变更</w:t>
            </w:r>
          </w:p>
        </w:tc>
        <w:tc>
          <w:tcPr>
            <w:tcW w:w="3808" w:type="dxa"/>
          </w:tcPr>
          <w:p w14:paraId="36F67A9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低风险，对服务无实质性影响</w:t>
            </w:r>
          </w:p>
        </w:tc>
        <w:tc>
          <w:tcPr>
            <w:tcW w:w="2841" w:type="dxa"/>
          </w:tcPr>
          <w:p w14:paraId="1E8E877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运维工程师审批</w:t>
            </w:r>
          </w:p>
        </w:tc>
      </w:tr>
      <w:tr w14:paraId="4D1EF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68CA814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重大变更</w:t>
            </w:r>
          </w:p>
        </w:tc>
        <w:tc>
          <w:tcPr>
            <w:tcW w:w="3808" w:type="dxa"/>
          </w:tcPr>
          <w:p w14:paraId="56A84FA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高风险，影响核心业务或范围广</w:t>
            </w:r>
          </w:p>
        </w:tc>
        <w:tc>
          <w:tcPr>
            <w:tcW w:w="2841" w:type="dxa"/>
          </w:tcPr>
          <w:p w14:paraId="5383395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运维部经理审批</w:t>
            </w:r>
          </w:p>
        </w:tc>
      </w:tr>
      <w:tr w14:paraId="038C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6C03FD6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紧急变更</w:t>
            </w:r>
          </w:p>
        </w:tc>
        <w:tc>
          <w:tcPr>
            <w:tcW w:w="3808" w:type="dxa"/>
          </w:tcPr>
          <w:p w14:paraId="56C8795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极高风险，需立即处理以恢复服务</w:t>
            </w:r>
          </w:p>
        </w:tc>
        <w:tc>
          <w:tcPr>
            <w:tcW w:w="2841" w:type="dxa"/>
          </w:tcPr>
          <w:p w14:paraId="5E25D0A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运维部经理审批</w:t>
            </w:r>
          </w:p>
        </w:tc>
      </w:tr>
    </w:tbl>
    <w:p w14:paraId="42AF3A45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变更管理通用流程</w:t>
      </w:r>
    </w:p>
    <w:p w14:paraId="0EA353B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变更申请：由事件、问题或其他管理流程触发，提交变更请求。</w:t>
      </w:r>
    </w:p>
    <w:p w14:paraId="50BAE7A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记录与过滤：运维工程师接收并记录变更请求，对不合规或超出范围的申请予以拒绝并说明原因。</w:t>
      </w:r>
    </w:p>
    <w:p w14:paraId="0B9277B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评估与分类：运维工程师对受理的变更请求进行评估，明确其影响、风险与资源需求，并进行分类。</w:t>
      </w:r>
    </w:p>
    <w:p w14:paraId="4B76687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审批与计划：根据变更分类，进入相应审批流程。审批通过后，制定详细的变更计划、测试计划与回退计划。</w:t>
      </w:r>
    </w:p>
    <w:p w14:paraId="1917548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实施与测试：变更实施人员按计划在测试环境或生产环境执行变更，并进行验证测试。</w:t>
      </w:r>
    </w:p>
    <w:p w14:paraId="116760F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回顾与关闭：变更成功后，进行回顾评审，更新配置管理数据库（CMDB）和知识库，最后由运维工程师关闭变更。</w:t>
      </w:r>
    </w:p>
    <w:p w14:paraId="383E7D6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特定流程要求</w:t>
      </w:r>
    </w:p>
    <w:p w14:paraId="5EAA4CA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一般变更流程：流程简化，侧重于标准操作与快速实施。</w:t>
      </w:r>
    </w:p>
    <w:p w14:paraId="266DF42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重大变更流程：必须经过严格的测试、详细的方案评审与多层审批。</w:t>
      </w:r>
    </w:p>
    <w:p w14:paraId="453480F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紧急变更流程：在保障“事前审批”原则的前提下可加速，但事后必须补全所有文档并完成评审。</w:t>
      </w:r>
    </w:p>
    <w:p w14:paraId="01DAB930">
      <w:pPr>
        <w:pStyle w:val="30"/>
        <w:bidi w:val="0"/>
        <w:rPr>
          <w:rFonts w:hint="eastAsia"/>
        </w:rPr>
      </w:pPr>
      <w:bookmarkStart w:id="3" w:name="_Toc14508"/>
      <w:r>
        <w:rPr>
          <w:rFonts w:hint="eastAsia"/>
        </w:rPr>
        <w:t>关键控制点与测量指标</w:t>
      </w:r>
      <w:bookmarkEnd w:id="3"/>
    </w:p>
    <w:p w14:paraId="61DD356B">
      <w:pPr>
        <w:pStyle w:val="29"/>
        <w:ind w:left="0" w:leftChars="0" w:right="0" w:righ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1E841C6E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变更成功率</w:t>
            </w:r>
          </w:p>
        </w:tc>
        <w:tc>
          <w:tcPr>
            <w:tcW w:w="3771" w:type="dxa"/>
          </w:tcPr>
          <w:p w14:paraId="3F68233D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(变</w:t>
            </w:r>
            <w:bookmarkStart w:id="4" w:name="_GoBack"/>
            <w:bookmarkEnd w:id="4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次成功次数 / 变更总次数) × 100%</w:t>
            </w:r>
          </w:p>
        </w:tc>
        <w:tc>
          <w:tcPr>
            <w:tcW w:w="1107" w:type="dxa"/>
          </w:tcPr>
          <w:p w14:paraId="2FCE6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55CD9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 w14:paraId="0E682CC3">
      <w:pPr>
        <w:pStyle w:val="29"/>
        <w:rPr>
          <w:rFonts w:hint="eastAsia"/>
          <w:lang w:val="en-US" w:eastAsia="zh-CN"/>
        </w:rPr>
      </w:pPr>
    </w:p>
    <w:p w14:paraId="2A12F876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附则</w:t>
      </w:r>
    </w:p>
    <w:p w14:paraId="195960FA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本制度最终解释权和修订权归运维部。</w:t>
      </w:r>
    </w:p>
    <w:p w14:paraId="4E9E12BB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本制度自颁布之日起施行。</w:t>
      </w:r>
    </w:p>
    <w:p w14:paraId="117BFA54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p w14:paraId="2C499993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《变更申请表》</w:t>
      </w:r>
    </w:p>
    <w:p w14:paraId="05204233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《变更管理表》</w:t>
      </w:r>
    </w:p>
    <w:p w14:paraId="0C8D48FC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《变更方案模板》</w:t>
      </w:r>
    </w:p>
    <w:p w14:paraId="5D622D9B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</w:t>
      </w:r>
    </w:p>
    <w:p w14:paraId="169F390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所有变更相关的申请、评估、审批、实施、测试与回顾记录，应由运维部统一保存，保存期限不少于3年，以支持审计与服务改进。</w:t>
      </w:r>
    </w:p>
    <w:p w14:paraId="05F117FD">
      <w:pPr>
        <w:pStyle w:val="29"/>
        <w:rPr>
          <w:rFonts w:hint="eastAsia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9CB31"/>
    <w:multiLevelType w:val="singleLevel"/>
    <w:tmpl w:val="8AE9CB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C48F51A4"/>
    <w:multiLevelType w:val="singleLevel"/>
    <w:tmpl w:val="C48F51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AC7FB99"/>
    <w:multiLevelType w:val="singleLevel"/>
    <w:tmpl w:val="CAC7FB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EF06DD2"/>
    <w:multiLevelType w:val="singleLevel"/>
    <w:tmpl w:val="DEF06D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490C729"/>
    <w:multiLevelType w:val="singleLevel"/>
    <w:tmpl w:val="2490C7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A1C11A3"/>
    <w:multiLevelType w:val="singleLevel"/>
    <w:tmpl w:val="4A1C11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2FC6355"/>
    <w:rsid w:val="040604A9"/>
    <w:rsid w:val="055A7363"/>
    <w:rsid w:val="05980692"/>
    <w:rsid w:val="073D05DE"/>
    <w:rsid w:val="07660A33"/>
    <w:rsid w:val="080D4B60"/>
    <w:rsid w:val="09975029"/>
    <w:rsid w:val="09D65B51"/>
    <w:rsid w:val="09F2400E"/>
    <w:rsid w:val="09FC6C3A"/>
    <w:rsid w:val="0B495EAF"/>
    <w:rsid w:val="0BF57DE5"/>
    <w:rsid w:val="0CF12BAD"/>
    <w:rsid w:val="0F4F57A4"/>
    <w:rsid w:val="0FD115EF"/>
    <w:rsid w:val="102869DB"/>
    <w:rsid w:val="127C6B6A"/>
    <w:rsid w:val="130628D8"/>
    <w:rsid w:val="131B2827"/>
    <w:rsid w:val="139879D4"/>
    <w:rsid w:val="13D604FC"/>
    <w:rsid w:val="14AB3737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7FA6EAF"/>
    <w:rsid w:val="18846779"/>
    <w:rsid w:val="18F465E3"/>
    <w:rsid w:val="19E020D4"/>
    <w:rsid w:val="1A5A3C35"/>
    <w:rsid w:val="1A9923D9"/>
    <w:rsid w:val="1BC709D8"/>
    <w:rsid w:val="1D997E65"/>
    <w:rsid w:val="1DF6779F"/>
    <w:rsid w:val="1E692834"/>
    <w:rsid w:val="1EFD1033"/>
    <w:rsid w:val="1FCB1131"/>
    <w:rsid w:val="20AC2D10"/>
    <w:rsid w:val="20D91840"/>
    <w:rsid w:val="215C6FE4"/>
    <w:rsid w:val="21C32A8F"/>
    <w:rsid w:val="222B5EB7"/>
    <w:rsid w:val="22A073F7"/>
    <w:rsid w:val="22D84291"/>
    <w:rsid w:val="23A26E72"/>
    <w:rsid w:val="23DD436C"/>
    <w:rsid w:val="23FD59BD"/>
    <w:rsid w:val="24B14D99"/>
    <w:rsid w:val="26C427F2"/>
    <w:rsid w:val="270F5463"/>
    <w:rsid w:val="276C144B"/>
    <w:rsid w:val="2908648D"/>
    <w:rsid w:val="294F2DD3"/>
    <w:rsid w:val="2975663E"/>
    <w:rsid w:val="2A8B6C6D"/>
    <w:rsid w:val="2B612949"/>
    <w:rsid w:val="2E500F2E"/>
    <w:rsid w:val="2F041F69"/>
    <w:rsid w:val="2FC11C09"/>
    <w:rsid w:val="333746BC"/>
    <w:rsid w:val="337C3E29"/>
    <w:rsid w:val="346C0F8D"/>
    <w:rsid w:val="350D601C"/>
    <w:rsid w:val="35DE67BA"/>
    <w:rsid w:val="35F07207"/>
    <w:rsid w:val="36883480"/>
    <w:rsid w:val="36914A2B"/>
    <w:rsid w:val="3699743B"/>
    <w:rsid w:val="375F2433"/>
    <w:rsid w:val="37971BCD"/>
    <w:rsid w:val="37DF17C6"/>
    <w:rsid w:val="37E666B0"/>
    <w:rsid w:val="3914549F"/>
    <w:rsid w:val="3B7B2117"/>
    <w:rsid w:val="3C265C15"/>
    <w:rsid w:val="3D5F4115"/>
    <w:rsid w:val="3E287A22"/>
    <w:rsid w:val="3E5A3954"/>
    <w:rsid w:val="3F2D2E17"/>
    <w:rsid w:val="40646D0C"/>
    <w:rsid w:val="40873B7A"/>
    <w:rsid w:val="40B11D0C"/>
    <w:rsid w:val="41D13F2D"/>
    <w:rsid w:val="41DA54D8"/>
    <w:rsid w:val="426164FC"/>
    <w:rsid w:val="43223C0F"/>
    <w:rsid w:val="4368266F"/>
    <w:rsid w:val="43996CCD"/>
    <w:rsid w:val="44315157"/>
    <w:rsid w:val="444A7FC7"/>
    <w:rsid w:val="45EE5265"/>
    <w:rsid w:val="46BF2EEE"/>
    <w:rsid w:val="472B0583"/>
    <w:rsid w:val="473661D7"/>
    <w:rsid w:val="47BB1907"/>
    <w:rsid w:val="47F646ED"/>
    <w:rsid w:val="484F2050"/>
    <w:rsid w:val="48A056F9"/>
    <w:rsid w:val="48C4659A"/>
    <w:rsid w:val="48FA020D"/>
    <w:rsid w:val="49B33C44"/>
    <w:rsid w:val="49CC1B61"/>
    <w:rsid w:val="4BFB76A0"/>
    <w:rsid w:val="4D1711C1"/>
    <w:rsid w:val="4DF34F39"/>
    <w:rsid w:val="4E0B149B"/>
    <w:rsid w:val="4E387C11"/>
    <w:rsid w:val="4F6F1974"/>
    <w:rsid w:val="501A2B73"/>
    <w:rsid w:val="503F29AA"/>
    <w:rsid w:val="50BE0A71"/>
    <w:rsid w:val="51143E36"/>
    <w:rsid w:val="511C5981"/>
    <w:rsid w:val="51F0261E"/>
    <w:rsid w:val="5486504B"/>
    <w:rsid w:val="54CB7E3C"/>
    <w:rsid w:val="553C49CA"/>
    <w:rsid w:val="55E92FB9"/>
    <w:rsid w:val="5632548A"/>
    <w:rsid w:val="58675193"/>
    <w:rsid w:val="5A6610C0"/>
    <w:rsid w:val="5B0B0058"/>
    <w:rsid w:val="5B85605C"/>
    <w:rsid w:val="5D0D6A04"/>
    <w:rsid w:val="5D2E6280"/>
    <w:rsid w:val="5D6677C8"/>
    <w:rsid w:val="5E6A32E8"/>
    <w:rsid w:val="5EFB71CC"/>
    <w:rsid w:val="5F7F1015"/>
    <w:rsid w:val="5F9920D6"/>
    <w:rsid w:val="613E7799"/>
    <w:rsid w:val="6200643D"/>
    <w:rsid w:val="62312EF8"/>
    <w:rsid w:val="640721AA"/>
    <w:rsid w:val="64CE5274"/>
    <w:rsid w:val="652A5B5F"/>
    <w:rsid w:val="657F3B1C"/>
    <w:rsid w:val="659C092C"/>
    <w:rsid w:val="65C43C25"/>
    <w:rsid w:val="65C93692"/>
    <w:rsid w:val="660B53B0"/>
    <w:rsid w:val="678C0773"/>
    <w:rsid w:val="684F173D"/>
    <w:rsid w:val="68570D81"/>
    <w:rsid w:val="68804644"/>
    <w:rsid w:val="698F3ABF"/>
    <w:rsid w:val="69DB53BE"/>
    <w:rsid w:val="6BAD2A66"/>
    <w:rsid w:val="6BF30DC0"/>
    <w:rsid w:val="6D0843F7"/>
    <w:rsid w:val="6D5E2269"/>
    <w:rsid w:val="6D834437"/>
    <w:rsid w:val="6DB46CBB"/>
    <w:rsid w:val="6E6623CD"/>
    <w:rsid w:val="6F213E96"/>
    <w:rsid w:val="6F887A72"/>
    <w:rsid w:val="6FB3610E"/>
    <w:rsid w:val="711772FF"/>
    <w:rsid w:val="713003C1"/>
    <w:rsid w:val="7141437C"/>
    <w:rsid w:val="72FF44EF"/>
    <w:rsid w:val="7352461E"/>
    <w:rsid w:val="73593BFF"/>
    <w:rsid w:val="73644352"/>
    <w:rsid w:val="73C7661F"/>
    <w:rsid w:val="76960176"/>
    <w:rsid w:val="76F6721A"/>
    <w:rsid w:val="776C1A27"/>
    <w:rsid w:val="7819395D"/>
    <w:rsid w:val="783E1615"/>
    <w:rsid w:val="78CA2EA9"/>
    <w:rsid w:val="78D1021F"/>
    <w:rsid w:val="79D51B05"/>
    <w:rsid w:val="7A1940E8"/>
    <w:rsid w:val="7A2F7467"/>
    <w:rsid w:val="7B3665D4"/>
    <w:rsid w:val="7B4E6013"/>
    <w:rsid w:val="7B5C70B9"/>
    <w:rsid w:val="7C066719"/>
    <w:rsid w:val="7C434C07"/>
    <w:rsid w:val="7D0C7F34"/>
    <w:rsid w:val="7D1868D9"/>
    <w:rsid w:val="7DA168CE"/>
    <w:rsid w:val="7DF905A7"/>
    <w:rsid w:val="7E086FD3"/>
    <w:rsid w:val="7E6E740A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1733</Words>
  <Characters>1883</Characters>
  <Lines>0</Lines>
  <Paragraphs>0</Paragraphs>
  <TotalTime>2</TotalTime>
  <ScaleCrop>false</ScaleCrop>
  <LinksUpToDate>false</LinksUpToDate>
  <CharactersWithSpaces>1956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2025-10-21T19:49:05Z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