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发布管理制度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3369"/>
      <w:r>
        <w:rPr>
          <w:rFonts w:hint="eastAsia"/>
          <w:lang w:val="en-US" w:eastAsia="zh-CN"/>
        </w:rPr>
        <w:t>目的</w:t>
      </w:r>
      <w:bookmarkEnd w:id="3"/>
    </w:p>
    <w:p w14:paraId="66A76C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为规范阿克苏智汇人才服务有限公司运维服务的发布管理活动，确保所有发布至生产环境的变更或新服务是可追溯、安全且受控的，保障只有经过正确测试与审批的版本才能被部署，并确保配置管理数据库（CMDB）的准确性，特制定本制度。</w:t>
      </w:r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4707"/>
      <w:r>
        <w:rPr>
          <w:rFonts w:hint="eastAsia"/>
          <w:lang w:val="en-US" w:eastAsia="zh-CN"/>
        </w:rPr>
        <w:t>适用范围</w:t>
      </w:r>
      <w:bookmarkEnd w:id="4"/>
    </w:p>
    <w:p w14:paraId="7F77586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本制度适用于公司运维部及其它相关职能部门，对所有正式运行的系统及在实施运维服务项目中的软件、硬件、文档及服务的发布活动进行管理。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7905"/>
      <w:r>
        <w:rPr>
          <w:rFonts w:hint="eastAsia"/>
          <w:lang w:val="en-US" w:eastAsia="zh-CN"/>
        </w:rPr>
        <w:t>原则</w:t>
      </w:r>
      <w:bookmarkEnd w:id="5"/>
    </w:p>
    <w:p w14:paraId="7EEED819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计划性原则：所有发布必须经过规划和审批，禁止未经计划的部署。</w:t>
      </w:r>
    </w:p>
    <w:p w14:paraId="16AA4ADF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</w:rPr>
        <w:t>可靠性原则：发布必须经过充分测试，确保其安全、可靠，并具备可行的回退方案。</w:t>
      </w:r>
    </w:p>
    <w:p w14:paraId="729343F4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</w:rPr>
        <w:t>追溯性原则：发布的全部过程及最终版本必须被完整记录，确保可追溯。</w:t>
      </w:r>
    </w:p>
    <w:p w14:paraId="759B69A8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</w:rPr>
        <w:t>协同性原则：发布管理需与变更管理、配置管理等流程紧密协作，统一部署。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2565"/>
      <w:r>
        <w:rPr>
          <w:rFonts w:hint="eastAsia"/>
          <w:lang w:val="en-US" w:eastAsia="zh-CN"/>
        </w:rPr>
        <w:t>岗位职责</w:t>
      </w:r>
      <w:bookmarkEnd w:id="6"/>
    </w:p>
    <w:p w14:paraId="150A13F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运维部经理</w:t>
      </w:r>
    </w:p>
    <w:p w14:paraId="66CA8E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负责发布管理流程的整体管理、协调与改进。</w:t>
      </w:r>
    </w:p>
    <w:p w14:paraId="49DBE2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受理发布请求，组织制定与评审发布计划。</w:t>
      </w:r>
    </w:p>
    <w:p w14:paraId="60F1FBC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作为变更管理委员会成员，参与变更评审。</w:t>
      </w:r>
    </w:p>
    <w:p w14:paraId="21FA1F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组织发布实施，并负责发布的最终关闭与报告。</w:t>
      </w:r>
    </w:p>
    <w:p w14:paraId="08D49E2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运维工程师</w:t>
      </w:r>
    </w:p>
    <w:p w14:paraId="04DCEA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根据发布结果，及时、准确地更新配置管理数据库（CMDB）。</w:t>
      </w:r>
    </w:p>
    <w:p w14:paraId="013C92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跟踪发布全过程，确保流程合规，直至发布关闭。</w:t>
      </w:r>
    </w:p>
    <w:p w14:paraId="2BBCDE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协助验证发布计划的完整性与稳定性。</w:t>
      </w:r>
    </w:p>
    <w:p w14:paraId="706A4AE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依据已批准的发布计划，具体执行发布部署操作。</w:t>
      </w:r>
    </w:p>
    <w:p w14:paraId="3B7762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发布失败时，严格执行回退计划。</w:t>
      </w:r>
    </w:p>
    <w:p w14:paraId="4343E0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向发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反馈发布实施情况。</w:t>
      </w: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7310"/>
      <w:r>
        <w:rPr>
          <w:rFonts w:hint="eastAsia"/>
          <w:lang w:val="en-US" w:eastAsia="zh-CN"/>
        </w:rPr>
        <w:t>引用依据</w:t>
      </w:r>
      <w:bookmarkEnd w:id="7"/>
    </w:p>
    <w:p w14:paraId="2D405B2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1DA60DD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65DAFFA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32A11941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30963"/>
      <w:r>
        <w:rPr>
          <w:rFonts w:hint="eastAsia"/>
          <w:lang w:val="en-US" w:eastAsia="zh-CN"/>
        </w:rPr>
        <w:t>定义与术语</w:t>
      </w:r>
      <w:bookmarkEnd w:id="8"/>
    </w:p>
    <w:p w14:paraId="4D460B7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发布</w:t>
      </w:r>
    </w:p>
    <w:p w14:paraId="270466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将一项新的、或有变更的服务或服务组件，经过测试后正式引入生产环境的全过程。</w:t>
      </w:r>
    </w:p>
    <w:p w14:paraId="41CA9F4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发布计划</w:t>
      </w:r>
    </w:p>
    <w:p w14:paraId="3596E4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为成功实施发布而制定的详细方案，包括时间安排、资源分配、步骤及回退措施等。</w:t>
      </w:r>
    </w:p>
    <w:p w14:paraId="3C4CE05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最终软件库</w:t>
      </w:r>
    </w:p>
    <w:p w14:paraId="59F5338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用于安全存储和维护所有经批准的软件版本正本的受控存储区。</w:t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370"/>
      <w:r>
        <w:rPr>
          <w:rFonts w:hint="eastAsia"/>
          <w:lang w:val="en-US" w:eastAsia="zh-CN"/>
        </w:rPr>
        <w:t>管理内容与要求</w:t>
      </w:r>
      <w:bookmarkEnd w:id="9"/>
    </w:p>
    <w:p w14:paraId="00FC132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发布类型与界定</w:t>
      </w:r>
    </w:p>
    <w:p w14:paraId="5989B7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所有发布请求必须根据其业务影响、风险与紧急程度，按以下标准进行分类，并执行相应管理策略</w:t>
      </w:r>
      <w:r>
        <w:rPr>
          <w:rFonts w:hint="eastAsia"/>
          <w:lang w:val="en-US" w:eastAsia="zh-CN"/>
        </w:rPr>
        <w:t>，如图表4-1所示</w:t>
      </w:r>
    </w:p>
    <w:p w14:paraId="2AA4888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270F08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 STYLEREF "柴_标题1" \n \* Charformat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发布类型对照表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E793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0BEEFA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发布类型</w:t>
            </w:r>
          </w:p>
        </w:tc>
        <w:tc>
          <w:tcPr>
            <w:tcW w:w="2841" w:type="dxa"/>
          </w:tcPr>
          <w:p w14:paraId="02D79B9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界定标准与风险特征</w:t>
            </w:r>
          </w:p>
        </w:tc>
        <w:tc>
          <w:tcPr>
            <w:tcW w:w="2841" w:type="dxa"/>
          </w:tcPr>
          <w:p w14:paraId="2051264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审批与管理</w:t>
            </w:r>
          </w:p>
        </w:tc>
      </w:tr>
      <w:tr w14:paraId="192A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D11743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紧急发布</w:t>
            </w:r>
          </w:p>
        </w:tc>
        <w:tc>
          <w:tcPr>
            <w:tcW w:w="2841" w:type="dxa"/>
            <w:shd w:val="clear" w:color="auto" w:fill="auto"/>
          </w:tcPr>
          <w:tbl>
            <w:tblPr>
              <w:tblStyle w:val="20"/>
              <w:tblW w:w="0" w:type="auto"/>
              <w:tblInd w:w="-19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625"/>
            </w:tblGrid>
            <w:tr w14:paraId="116155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</w:tblPrEx>
              <w:tc>
                <w:tcPr>
                  <w:tcW w:w="0" w:type="auto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02EC1E86">
                  <w:pPr>
                    <w:pStyle w:val="29"/>
                    <w:keepNext w:val="0"/>
                    <w:keepLines w:val="0"/>
                    <w:pageBreakBefore w:val="0"/>
                    <w:widowControl w:val="0"/>
                    <w:kinsoku w:val="0"/>
                    <w:wordWrap/>
                    <w:overflowPunct/>
                    <w:autoSpaceDE w:val="0"/>
                    <w:autoSpaceDN w:val="0"/>
                    <w:bidi w:val="0"/>
                    <w:adjustRightInd w:val="0"/>
                    <w:snapToGrid w:val="0"/>
                    <w:ind w:left="0" w:leftChars="0" w:right="0" w:rightChars="0" w:firstLine="0" w:firstLineChars="0"/>
                    <w:jc w:val="center"/>
                    <w:textAlignment w:val="baseline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必须立即实施，否则将严重影响核心业务运行及SLA达成。风险极高，时间紧迫。</w:t>
                  </w:r>
                </w:p>
              </w:tc>
            </w:tr>
          </w:tbl>
          <w:p w14:paraId="04A6A6C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C2B56E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</w:tr>
      <w:tr w14:paraId="2F4DB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DF535C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重大发布</w:t>
            </w:r>
          </w:p>
        </w:tc>
        <w:tc>
          <w:tcPr>
            <w:tcW w:w="2841" w:type="dxa"/>
            <w:shd w:val="clear" w:color="auto" w:fill="auto"/>
          </w:tcPr>
          <w:p w14:paraId="40C4267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影响范围广，涉及系统核心功能，回退困难或需应用新技术，对业务有重大影响。</w:t>
            </w:r>
          </w:p>
        </w:tc>
        <w:tc>
          <w:tcPr>
            <w:tcW w:w="2841" w:type="dxa"/>
          </w:tcPr>
          <w:p w14:paraId="16AD46F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</w:tr>
      <w:tr w14:paraId="6C774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23106B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一般发布</w:t>
            </w:r>
          </w:p>
        </w:tc>
        <w:tc>
          <w:tcPr>
            <w:tcW w:w="2841" w:type="dxa"/>
            <w:shd w:val="clear" w:color="auto" w:fill="auto"/>
          </w:tcPr>
          <w:p w14:paraId="21AE68E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影响范围小，不涉及核心功能，回退容易，实施简单，对业务影响有限。</w:t>
            </w:r>
          </w:p>
        </w:tc>
        <w:tc>
          <w:tcPr>
            <w:tcW w:w="2841" w:type="dxa"/>
          </w:tcPr>
          <w:p w14:paraId="5FA9BF8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</w:tbl>
    <w:p w14:paraId="720D490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发布管理全流程控制</w:t>
      </w:r>
    </w:p>
    <w:p w14:paraId="2C671C2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发布受理与评估</w:t>
      </w:r>
    </w:p>
    <w:p w14:paraId="4B5170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建立标准化的发布受理机制：</w:t>
      </w:r>
    </w:p>
    <w:p w14:paraId="73110B4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受理条件：仅接受经变更管理流程正式批准的发布请求</w:t>
      </w:r>
    </w:p>
    <w:p w14:paraId="54045F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关联性评估：分析多个变更之间的依赖关系，确定合并发布方案</w:t>
      </w:r>
    </w:p>
    <w:p w14:paraId="4EEE23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资源评估：评估实施所需的技术资源、人力资源和时间资源</w:t>
      </w:r>
    </w:p>
    <w:p w14:paraId="18B7B9B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风险评估：识别发布过程中的技术风险、业务风险和管理风险</w:t>
      </w:r>
    </w:p>
    <w:p w14:paraId="2ADA6A2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发布计划制定</w:t>
      </w:r>
    </w:p>
    <w:p w14:paraId="0DC3FB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制定详细的发布计划，包含以下核心内容：</w:t>
      </w:r>
    </w:p>
    <w:p w14:paraId="4957AA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发布管理必须遵循以下标准化流程，确保发布活动的有序与可控：</w:t>
      </w:r>
      <w:r>
        <w:rPr>
          <w:rFonts w:hint="eastAsia"/>
          <w:lang w:val="en-US" w:eastAsia="zh-CN"/>
        </w:rPr>
        <w:t>如表4-2所示</w:t>
      </w:r>
    </w:p>
    <w:p w14:paraId="0D2546A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010D0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2196C4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 STYLEREF "柴_标题1" \n \* Charformat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发布管理流程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4C16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EA32E0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发布阶段</w:t>
            </w:r>
          </w:p>
        </w:tc>
        <w:tc>
          <w:tcPr>
            <w:tcW w:w="2841" w:type="dxa"/>
          </w:tcPr>
          <w:p w14:paraId="4EEAE3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核心活动与要求</w:t>
            </w:r>
          </w:p>
        </w:tc>
        <w:tc>
          <w:tcPr>
            <w:tcW w:w="2841" w:type="dxa"/>
          </w:tcPr>
          <w:p w14:paraId="656C03A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责任人</w:t>
            </w:r>
          </w:p>
        </w:tc>
      </w:tr>
      <w:tr w14:paraId="159F3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554B96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发布受理</w:t>
            </w:r>
          </w:p>
        </w:tc>
        <w:tc>
          <w:tcPr>
            <w:tcW w:w="2841" w:type="dxa"/>
            <w:shd w:val="clear" w:color="auto" w:fill="auto"/>
          </w:tcPr>
          <w:p w14:paraId="4339C3F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运维工程师依据经批准的变更计划受理发布请求，并评估多个变更的关联性，决定是否合并发布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。</w:t>
            </w:r>
          </w:p>
        </w:tc>
        <w:tc>
          <w:tcPr>
            <w:tcW w:w="2841" w:type="dxa"/>
          </w:tcPr>
          <w:p w14:paraId="389B36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  <w:tr w14:paraId="2014B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F1E999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制定发布计划</w:t>
            </w:r>
          </w:p>
        </w:tc>
        <w:tc>
          <w:tcPr>
            <w:tcW w:w="2841" w:type="dxa"/>
            <w:shd w:val="clear" w:color="auto" w:fill="auto"/>
          </w:tcPr>
          <w:p w14:paraId="1328CB0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制定详细的《发布计划》，内容须涵盖发布目的、影响范围、参与方职责、风险应对措施、配置基线及部署后工作计划。</w:t>
            </w:r>
          </w:p>
        </w:tc>
        <w:tc>
          <w:tcPr>
            <w:tcW w:w="2841" w:type="dxa"/>
          </w:tcPr>
          <w:p w14:paraId="5C7575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  <w:tr w14:paraId="13610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E524A0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组织实施发布</w:t>
            </w:r>
          </w:p>
        </w:tc>
        <w:tc>
          <w:tcPr>
            <w:tcW w:w="2841" w:type="dxa"/>
            <w:shd w:val="clear" w:color="auto" w:fill="auto"/>
          </w:tcPr>
          <w:p w14:paraId="2B9F7BE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运维工程师总体协调，发布实施人员严格依据已批准的发布计划执行部署操作。</w:t>
            </w:r>
          </w:p>
        </w:tc>
        <w:tc>
          <w:tcPr>
            <w:tcW w:w="2841" w:type="dxa"/>
          </w:tcPr>
          <w:p w14:paraId="05D3FF9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  <w:tr w14:paraId="4406E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72750A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更新配置信息</w:t>
            </w:r>
          </w:p>
        </w:tc>
        <w:tc>
          <w:tcPr>
            <w:tcW w:w="2841" w:type="dxa"/>
            <w:shd w:val="clear" w:color="auto" w:fill="auto"/>
          </w:tcPr>
          <w:p w14:paraId="41B9E89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发布成功实施后，配置管理员须依据实际发布结果，及时、准确地更新配置管理数据库（CMDB）</w:t>
            </w:r>
          </w:p>
        </w:tc>
        <w:tc>
          <w:tcPr>
            <w:tcW w:w="2841" w:type="dxa"/>
          </w:tcPr>
          <w:p w14:paraId="4CBE8D3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  <w:tr w14:paraId="05A71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2A3F1B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发布关闭</w:t>
            </w:r>
          </w:p>
        </w:tc>
        <w:tc>
          <w:tcPr>
            <w:tcW w:w="2841" w:type="dxa"/>
            <w:shd w:val="clear" w:color="auto" w:fill="auto"/>
          </w:tcPr>
          <w:p w14:paraId="27F2C84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运维部经理负责整理所有过程文档并归档，编写《发布变更报告》，对成功与失败的发布进行分析，最终正式关闭发布。</w:t>
            </w:r>
          </w:p>
        </w:tc>
        <w:tc>
          <w:tcPr>
            <w:tcW w:w="2841" w:type="dxa"/>
          </w:tcPr>
          <w:p w14:paraId="6E2296E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</w:tr>
    </w:tbl>
    <w:p w14:paraId="314929D4"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0" w:name="_Toc14508"/>
      <w:r>
        <w:rPr>
          <w:rFonts w:hint="eastAsia"/>
        </w:rPr>
        <w:t>发布实施与监控</w:t>
      </w:r>
    </w:p>
    <w:p w14:paraId="12E9792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预发布验证</w:t>
      </w:r>
    </w:p>
    <w:p w14:paraId="7CBE9B86">
      <w:pPr>
        <w:pStyle w:val="29"/>
        <w:bidi w:val="0"/>
        <w:rPr>
          <w:rFonts w:hint="eastAsia"/>
        </w:rPr>
      </w:pPr>
      <w:r>
        <w:rPr>
          <w:rFonts w:hint="eastAsia"/>
        </w:rPr>
        <w:t>环境检查：验证目标环境与发布要求的符合性</w:t>
      </w:r>
    </w:p>
    <w:p w14:paraId="15DE8CCE">
      <w:pPr>
        <w:pStyle w:val="29"/>
        <w:bidi w:val="0"/>
        <w:rPr>
          <w:rFonts w:hint="eastAsia"/>
        </w:rPr>
      </w:pPr>
      <w:r>
        <w:rPr>
          <w:rFonts w:hint="eastAsia"/>
        </w:rPr>
        <w:t>备份验证：确认系统备份和数据备份的完整性</w:t>
      </w:r>
    </w:p>
    <w:p w14:paraId="4F57580F">
      <w:pPr>
        <w:pStyle w:val="29"/>
        <w:bidi w:val="0"/>
        <w:rPr>
          <w:rFonts w:hint="eastAsia"/>
        </w:rPr>
      </w:pPr>
      <w:r>
        <w:rPr>
          <w:rFonts w:hint="eastAsia"/>
        </w:rPr>
        <w:t>回退测试：在测试环境验证回退方案的可行性</w:t>
      </w:r>
    </w:p>
    <w:p w14:paraId="4E94C9DF">
      <w:pPr>
        <w:pStyle w:val="29"/>
        <w:bidi w:val="0"/>
        <w:rPr>
          <w:rFonts w:hint="eastAsia"/>
        </w:rPr>
      </w:pPr>
      <w:r>
        <w:rPr>
          <w:rFonts w:hint="eastAsia"/>
        </w:rPr>
        <w:t>应急预案：制定异常情况应急处置流程</w:t>
      </w:r>
    </w:p>
    <w:p w14:paraId="253A3F7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GoBack"/>
      <w:bookmarkEnd w:id="17"/>
      <w:r>
        <w:rPr>
          <w:rFonts w:hint="eastAsia"/>
        </w:rPr>
        <w:t>发布执行监控</w:t>
      </w:r>
    </w:p>
    <w:p w14:paraId="2DB7ECE8">
      <w:pPr>
        <w:pStyle w:val="29"/>
        <w:bidi w:val="0"/>
        <w:rPr>
          <w:rFonts w:hint="eastAsia"/>
        </w:rPr>
      </w:pPr>
      <w:r>
        <w:rPr>
          <w:rFonts w:hint="eastAsia"/>
        </w:rPr>
        <w:t>建立发布过程实时监控机制：</w:t>
      </w:r>
    </w:p>
    <w:p w14:paraId="4BB2DB92">
      <w:pPr>
        <w:pStyle w:val="29"/>
        <w:bidi w:val="0"/>
        <w:rPr>
          <w:rFonts w:hint="eastAsia"/>
        </w:rPr>
      </w:pPr>
      <w:r>
        <w:rPr>
          <w:rFonts w:hint="eastAsia"/>
        </w:rPr>
        <w:t>进度监控：跟踪发布各阶段完成情况</w:t>
      </w:r>
    </w:p>
    <w:p w14:paraId="08B32EFF">
      <w:pPr>
        <w:pStyle w:val="29"/>
        <w:bidi w:val="0"/>
        <w:rPr>
          <w:rFonts w:hint="eastAsia"/>
        </w:rPr>
      </w:pPr>
      <w:r>
        <w:rPr>
          <w:rFonts w:hint="eastAsia"/>
        </w:rPr>
        <w:t>性能监控：监控系统关键性能指标变化</w:t>
      </w:r>
    </w:p>
    <w:p w14:paraId="6105640F">
      <w:pPr>
        <w:pStyle w:val="29"/>
        <w:bidi w:val="0"/>
        <w:rPr>
          <w:rFonts w:hint="eastAsia"/>
        </w:rPr>
      </w:pPr>
      <w:r>
        <w:rPr>
          <w:rFonts w:hint="eastAsia"/>
        </w:rPr>
        <w:t>日志监控：实时分析系统日志，及时发现异常</w:t>
      </w:r>
    </w:p>
    <w:p w14:paraId="6F7B6C51">
      <w:pPr>
        <w:pStyle w:val="29"/>
        <w:bidi w:val="0"/>
        <w:rPr>
          <w:rFonts w:hint="eastAsia"/>
        </w:rPr>
      </w:pPr>
      <w:r>
        <w:rPr>
          <w:rFonts w:hint="eastAsia"/>
        </w:rPr>
        <w:t>用户反馈：收集用户端的使用反馈</w:t>
      </w:r>
    </w:p>
    <w:p w14:paraId="2A50C17D"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发布后管理</w:t>
      </w:r>
    </w:p>
    <w:p w14:paraId="3601A27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效果验证</w:t>
      </w:r>
    </w:p>
    <w:p w14:paraId="3F2EA609">
      <w:pPr>
        <w:pStyle w:val="29"/>
        <w:bidi w:val="0"/>
        <w:rPr>
          <w:rFonts w:hint="eastAsia"/>
        </w:rPr>
      </w:pPr>
      <w:r>
        <w:rPr>
          <w:rFonts w:hint="eastAsia"/>
        </w:rPr>
        <w:t>功能验证：验证发布功能的完整性和正确性</w:t>
      </w:r>
    </w:p>
    <w:p w14:paraId="0A0AA9C8">
      <w:pPr>
        <w:pStyle w:val="29"/>
        <w:bidi w:val="0"/>
        <w:rPr>
          <w:rFonts w:hint="eastAsia"/>
        </w:rPr>
      </w:pPr>
      <w:r>
        <w:rPr>
          <w:rFonts w:hint="eastAsia"/>
        </w:rPr>
        <w:t>性能验证：确认系统性能指标符合预期</w:t>
      </w:r>
    </w:p>
    <w:p w14:paraId="66C0E56F">
      <w:pPr>
        <w:pStyle w:val="29"/>
        <w:bidi w:val="0"/>
        <w:rPr>
          <w:rFonts w:hint="eastAsia"/>
        </w:rPr>
      </w:pPr>
      <w:r>
        <w:rPr>
          <w:rFonts w:hint="eastAsia"/>
        </w:rPr>
        <w:t>业务验证：验证业务流程的正常运行</w:t>
      </w:r>
    </w:p>
    <w:p w14:paraId="28CC224B">
      <w:pPr>
        <w:pStyle w:val="29"/>
        <w:bidi w:val="0"/>
        <w:rPr>
          <w:rFonts w:hint="eastAsia"/>
        </w:rPr>
      </w:pPr>
      <w:r>
        <w:rPr>
          <w:rFonts w:hint="eastAsia"/>
        </w:rPr>
        <w:t>用户验收：获得业务部门的正式确认</w:t>
      </w:r>
    </w:p>
    <w:p w14:paraId="10A9827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配置更新</w:t>
      </w:r>
    </w:p>
    <w:p w14:paraId="1A3AFEAF">
      <w:pPr>
        <w:pStyle w:val="29"/>
        <w:bidi w:val="0"/>
        <w:rPr>
          <w:rFonts w:hint="eastAsia"/>
        </w:rPr>
      </w:pPr>
      <w:r>
        <w:rPr>
          <w:rFonts w:hint="eastAsia"/>
        </w:rPr>
        <w:t>CMDB更新：在发布成功后24小时内完成配置项信息更新</w:t>
      </w:r>
    </w:p>
    <w:p w14:paraId="074DC3D9">
      <w:pPr>
        <w:pStyle w:val="29"/>
        <w:bidi w:val="0"/>
        <w:rPr>
          <w:rFonts w:hint="eastAsia"/>
        </w:rPr>
      </w:pPr>
      <w:r>
        <w:rPr>
          <w:rFonts w:hint="eastAsia"/>
        </w:rPr>
        <w:t>文档归档：整理发布过程文档并归档保存</w:t>
      </w:r>
    </w:p>
    <w:p w14:paraId="75844A4E">
      <w:pPr>
        <w:pStyle w:val="29"/>
        <w:bidi w:val="0"/>
        <w:rPr>
          <w:rFonts w:hint="eastAsia"/>
        </w:rPr>
      </w:pPr>
      <w:r>
        <w:rPr>
          <w:rFonts w:hint="eastAsia"/>
        </w:rPr>
        <w:t>知识更新：将发布经验更新至知识库</w:t>
      </w:r>
    </w:p>
    <w:p w14:paraId="753877DF"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发布回退管理</w:t>
      </w:r>
    </w:p>
    <w:p w14:paraId="6F18C99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回退触发条件</w:t>
      </w:r>
    </w:p>
    <w:p w14:paraId="7A2E7341">
      <w:pPr>
        <w:pStyle w:val="29"/>
        <w:bidi w:val="0"/>
        <w:rPr>
          <w:rFonts w:hint="eastAsia"/>
        </w:rPr>
      </w:pPr>
      <w:r>
        <w:rPr>
          <w:rFonts w:hint="eastAsia"/>
        </w:rPr>
        <w:t>明确发布回退的触发条件：</w:t>
      </w:r>
    </w:p>
    <w:p w14:paraId="51DE33C9">
      <w:pPr>
        <w:pStyle w:val="29"/>
        <w:bidi w:val="0"/>
        <w:rPr>
          <w:rFonts w:hint="eastAsia"/>
        </w:rPr>
      </w:pPr>
      <w:r>
        <w:rPr>
          <w:rFonts w:hint="eastAsia"/>
        </w:rPr>
        <w:t>关键功能无法正常使用</w:t>
      </w:r>
    </w:p>
    <w:p w14:paraId="534E160D">
      <w:pPr>
        <w:pStyle w:val="29"/>
        <w:bidi w:val="0"/>
        <w:rPr>
          <w:rFonts w:hint="eastAsia"/>
        </w:rPr>
      </w:pPr>
      <w:r>
        <w:rPr>
          <w:rFonts w:hint="eastAsia"/>
        </w:rPr>
        <w:t>系统性能严重下降超出阈值</w:t>
      </w:r>
    </w:p>
    <w:p w14:paraId="0F8C1F54">
      <w:pPr>
        <w:pStyle w:val="29"/>
        <w:bidi w:val="0"/>
        <w:rPr>
          <w:rFonts w:hint="eastAsia"/>
        </w:rPr>
      </w:pPr>
      <w:r>
        <w:rPr>
          <w:rFonts w:hint="eastAsia"/>
        </w:rPr>
        <w:t>出现数据不一致或丢失</w:t>
      </w:r>
    </w:p>
    <w:p w14:paraId="7EF14CCD">
      <w:pPr>
        <w:pStyle w:val="29"/>
        <w:bidi w:val="0"/>
        <w:rPr>
          <w:rFonts w:hint="eastAsia"/>
        </w:rPr>
      </w:pPr>
      <w:r>
        <w:rPr>
          <w:rFonts w:hint="eastAsia"/>
        </w:rPr>
        <w:t>用户投诉集中且影响业务</w:t>
      </w:r>
    </w:p>
    <w:p w14:paraId="3AD08B9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回退执行流程</w:t>
      </w:r>
    </w:p>
    <w:p w14:paraId="4B6FD721">
      <w:pPr>
        <w:pStyle w:val="29"/>
        <w:bidi w:val="0"/>
        <w:rPr>
          <w:rFonts w:hint="eastAsia"/>
        </w:rPr>
      </w:pPr>
      <w:r>
        <w:rPr>
          <w:rFonts w:hint="eastAsia"/>
        </w:rPr>
        <w:t>立即决策：发现严重问题时30分钟内做出回退决策</w:t>
      </w:r>
    </w:p>
    <w:p w14:paraId="26DFA976">
      <w:pPr>
        <w:pStyle w:val="29"/>
        <w:bidi w:val="0"/>
        <w:rPr>
          <w:rFonts w:hint="eastAsia"/>
        </w:rPr>
      </w:pPr>
      <w:r>
        <w:rPr>
          <w:rFonts w:hint="eastAsia"/>
        </w:rPr>
        <w:t>有序执行：按照预定回退方案顺序执行</w:t>
      </w:r>
    </w:p>
    <w:p w14:paraId="29D41579">
      <w:pPr>
        <w:pStyle w:val="29"/>
        <w:bidi w:val="0"/>
        <w:rPr>
          <w:rFonts w:hint="eastAsia"/>
        </w:rPr>
      </w:pPr>
      <w:r>
        <w:rPr>
          <w:rFonts w:hint="eastAsia"/>
        </w:rPr>
        <w:t>状态恢复：确保系统完全恢复到发布前状态</w:t>
      </w:r>
    </w:p>
    <w:p w14:paraId="084D07BB">
      <w:pPr>
        <w:pStyle w:val="29"/>
        <w:bidi w:val="0"/>
        <w:rPr>
          <w:rFonts w:hint="eastAsia"/>
        </w:rPr>
      </w:pPr>
      <w:r>
        <w:rPr>
          <w:rFonts w:hint="eastAsia"/>
        </w:rPr>
        <w:t>问题记录：详细记录回退原因和过程</w:t>
      </w:r>
    </w:p>
    <w:p w14:paraId="01DAB93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关键控制点与测量指标</w:t>
      </w:r>
      <w:bookmarkEnd w:id="10"/>
    </w:p>
    <w:p w14:paraId="61DD356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705"/>
        <w:gridCol w:w="3771"/>
        <w:gridCol w:w="1107"/>
        <w:gridCol w:w="1094"/>
      </w:tblGrid>
      <w:tr w14:paraId="0DF3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0F3BE4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705" w:type="dxa"/>
          </w:tcPr>
          <w:p w14:paraId="28F79B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771" w:type="dxa"/>
          </w:tcPr>
          <w:p w14:paraId="66256F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 w14:paraId="313D7B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 w14:paraId="7583A6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 w14:paraId="0F5B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13B0B5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1E841C6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left"/>
              <w:textAlignment w:val="baseline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发布成功率</w:t>
            </w:r>
          </w:p>
        </w:tc>
        <w:tc>
          <w:tcPr>
            <w:tcW w:w="3771" w:type="dxa"/>
          </w:tcPr>
          <w:p w14:paraId="3F68233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left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(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发布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 xml:space="preserve">成功次数 / 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发布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总次数) × 100%</w:t>
            </w:r>
          </w:p>
        </w:tc>
        <w:tc>
          <w:tcPr>
            <w:tcW w:w="1107" w:type="dxa"/>
          </w:tcPr>
          <w:p w14:paraId="2FCE6E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 w14:paraId="55CD9B7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 w14:paraId="0F527F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11" w:name="bookmark3"/>
      <w:bookmarkEnd w:id="11"/>
      <w:bookmarkStart w:id="12" w:name="_Toc17424"/>
      <w:bookmarkStart w:id="13" w:name="_Toc26732"/>
      <w:r>
        <w:rPr>
          <w:rStyle w:val="38"/>
          <w:rFonts w:hint="eastAsia" w:eastAsia="宋体"/>
          <w:lang w:val="en-US" w:eastAsia="zh-CN"/>
        </w:rPr>
        <w:t>附则</w:t>
      </w:r>
      <w:bookmarkEnd w:id="12"/>
      <w:bookmarkEnd w:id="13"/>
    </w:p>
    <w:p w14:paraId="282C941D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运维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bookmark14"/>
      <w:bookmarkEnd w:id="14"/>
      <w:bookmarkStart w:id="15" w:name="_Toc3387"/>
      <w:r>
        <w:rPr>
          <w:rFonts w:hint="eastAsia"/>
          <w:lang w:val="en-US" w:eastAsia="zh-CN"/>
        </w:rPr>
        <w:t>附件</w:t>
      </w:r>
      <w:bookmarkEnd w:id="15"/>
    </w:p>
    <w:p w14:paraId="391E9A0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16438"/>
      <w:r>
        <w:rPr>
          <w:rFonts w:hint="eastAsia"/>
          <w:lang w:val="en-US" w:eastAsia="zh-CN"/>
        </w:rPr>
        <w:t>记录</w:t>
      </w:r>
      <w:bookmarkEnd w:id="16"/>
    </w:p>
    <w:p w14:paraId="291B98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FF3B22F"/>
    <w:multiLevelType w:val="singleLevel"/>
    <w:tmpl w:val="1FF3B2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1A2914F"/>
    <w:multiLevelType w:val="singleLevel"/>
    <w:tmpl w:val="61A291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135135"/>
    <w:rsid w:val="0055574E"/>
    <w:rsid w:val="00D62CC9"/>
    <w:rsid w:val="0104303E"/>
    <w:rsid w:val="01E07299"/>
    <w:rsid w:val="0211124F"/>
    <w:rsid w:val="028C11CF"/>
    <w:rsid w:val="029C58B6"/>
    <w:rsid w:val="02CE3596"/>
    <w:rsid w:val="02E5725D"/>
    <w:rsid w:val="02EA4873"/>
    <w:rsid w:val="040604A9"/>
    <w:rsid w:val="05980692"/>
    <w:rsid w:val="05E22A83"/>
    <w:rsid w:val="06704931"/>
    <w:rsid w:val="073D05DE"/>
    <w:rsid w:val="07660A33"/>
    <w:rsid w:val="080D4B60"/>
    <w:rsid w:val="09975029"/>
    <w:rsid w:val="09D65B51"/>
    <w:rsid w:val="09F2400E"/>
    <w:rsid w:val="09FC6C3A"/>
    <w:rsid w:val="0A9521E2"/>
    <w:rsid w:val="0B5810F3"/>
    <w:rsid w:val="0BF202F5"/>
    <w:rsid w:val="0CF12BAD"/>
    <w:rsid w:val="0D521193"/>
    <w:rsid w:val="0EE859DF"/>
    <w:rsid w:val="0F4F57A4"/>
    <w:rsid w:val="0FD115EF"/>
    <w:rsid w:val="10C20BDE"/>
    <w:rsid w:val="127C6B6A"/>
    <w:rsid w:val="128C7F51"/>
    <w:rsid w:val="130628D8"/>
    <w:rsid w:val="131B2827"/>
    <w:rsid w:val="139879D4"/>
    <w:rsid w:val="139D148E"/>
    <w:rsid w:val="13D604FC"/>
    <w:rsid w:val="145F4422"/>
    <w:rsid w:val="14994EDB"/>
    <w:rsid w:val="14B42767"/>
    <w:rsid w:val="150F4227"/>
    <w:rsid w:val="15CC7E09"/>
    <w:rsid w:val="15EC2259"/>
    <w:rsid w:val="16640041"/>
    <w:rsid w:val="16730C17"/>
    <w:rsid w:val="167E55A7"/>
    <w:rsid w:val="16B0772A"/>
    <w:rsid w:val="170D06D9"/>
    <w:rsid w:val="17103D25"/>
    <w:rsid w:val="17710C68"/>
    <w:rsid w:val="17BE19D3"/>
    <w:rsid w:val="17DF25E3"/>
    <w:rsid w:val="18846779"/>
    <w:rsid w:val="18CA5817"/>
    <w:rsid w:val="18F465E3"/>
    <w:rsid w:val="190774DE"/>
    <w:rsid w:val="19E020D4"/>
    <w:rsid w:val="19E27BFB"/>
    <w:rsid w:val="1A0635F7"/>
    <w:rsid w:val="1A9923D9"/>
    <w:rsid w:val="1B222279"/>
    <w:rsid w:val="1B4A3CA9"/>
    <w:rsid w:val="1BC709D8"/>
    <w:rsid w:val="1C556DAA"/>
    <w:rsid w:val="1CA43B5F"/>
    <w:rsid w:val="1D997E65"/>
    <w:rsid w:val="1DC00253"/>
    <w:rsid w:val="1DCA10D2"/>
    <w:rsid w:val="1DF61EC7"/>
    <w:rsid w:val="1E692834"/>
    <w:rsid w:val="1EFD1033"/>
    <w:rsid w:val="1F8E612F"/>
    <w:rsid w:val="1FCB1131"/>
    <w:rsid w:val="1FEB5DD4"/>
    <w:rsid w:val="20D91840"/>
    <w:rsid w:val="215C6FE4"/>
    <w:rsid w:val="222D60D3"/>
    <w:rsid w:val="237F470C"/>
    <w:rsid w:val="23A26E72"/>
    <w:rsid w:val="23DD436C"/>
    <w:rsid w:val="23FD59BD"/>
    <w:rsid w:val="24376D95"/>
    <w:rsid w:val="253908EB"/>
    <w:rsid w:val="26C427F2"/>
    <w:rsid w:val="270E0F67"/>
    <w:rsid w:val="27BD5803"/>
    <w:rsid w:val="28ED2118"/>
    <w:rsid w:val="2908648D"/>
    <w:rsid w:val="294F2DD3"/>
    <w:rsid w:val="296B3B6B"/>
    <w:rsid w:val="2975663E"/>
    <w:rsid w:val="29AC5B2F"/>
    <w:rsid w:val="29D11ACA"/>
    <w:rsid w:val="2A8B6C6D"/>
    <w:rsid w:val="2B134450"/>
    <w:rsid w:val="2B612949"/>
    <w:rsid w:val="2E500F2E"/>
    <w:rsid w:val="2EAE6B42"/>
    <w:rsid w:val="2F041F69"/>
    <w:rsid w:val="2FC11C09"/>
    <w:rsid w:val="333746BC"/>
    <w:rsid w:val="346C0F8D"/>
    <w:rsid w:val="350D601C"/>
    <w:rsid w:val="35CF507F"/>
    <w:rsid w:val="35DE67BA"/>
    <w:rsid w:val="36883480"/>
    <w:rsid w:val="36914A2B"/>
    <w:rsid w:val="3699743B"/>
    <w:rsid w:val="36DF5466"/>
    <w:rsid w:val="370A0339"/>
    <w:rsid w:val="375F2433"/>
    <w:rsid w:val="37971BCD"/>
    <w:rsid w:val="37DF17C6"/>
    <w:rsid w:val="37E666B0"/>
    <w:rsid w:val="3914549F"/>
    <w:rsid w:val="393D67A4"/>
    <w:rsid w:val="39720087"/>
    <w:rsid w:val="3B490C9D"/>
    <w:rsid w:val="3C265C15"/>
    <w:rsid w:val="3D5F4115"/>
    <w:rsid w:val="3DEF11F4"/>
    <w:rsid w:val="3E287A22"/>
    <w:rsid w:val="3E5A3954"/>
    <w:rsid w:val="3EF27562"/>
    <w:rsid w:val="3F2D2E17"/>
    <w:rsid w:val="4055530E"/>
    <w:rsid w:val="40646D0C"/>
    <w:rsid w:val="40873B7A"/>
    <w:rsid w:val="40B11D0C"/>
    <w:rsid w:val="41801923"/>
    <w:rsid w:val="41DA54D8"/>
    <w:rsid w:val="426164FC"/>
    <w:rsid w:val="43223C0F"/>
    <w:rsid w:val="4368266F"/>
    <w:rsid w:val="43996CCD"/>
    <w:rsid w:val="44D31777"/>
    <w:rsid w:val="45EE5265"/>
    <w:rsid w:val="46081EE8"/>
    <w:rsid w:val="46BF2EEE"/>
    <w:rsid w:val="472745EF"/>
    <w:rsid w:val="472B0583"/>
    <w:rsid w:val="47727269"/>
    <w:rsid w:val="47BB1907"/>
    <w:rsid w:val="484F2050"/>
    <w:rsid w:val="485E04E5"/>
    <w:rsid w:val="48FA020D"/>
    <w:rsid w:val="49B33C44"/>
    <w:rsid w:val="49CC1B61"/>
    <w:rsid w:val="4BFB76A0"/>
    <w:rsid w:val="4D1711C1"/>
    <w:rsid w:val="4D6C7200"/>
    <w:rsid w:val="4E0B149B"/>
    <w:rsid w:val="4F6F1974"/>
    <w:rsid w:val="503F29AA"/>
    <w:rsid w:val="50BE0A71"/>
    <w:rsid w:val="50EE77F7"/>
    <w:rsid w:val="511C5981"/>
    <w:rsid w:val="51F0261E"/>
    <w:rsid w:val="53F35F85"/>
    <w:rsid w:val="541F4FCC"/>
    <w:rsid w:val="5486504B"/>
    <w:rsid w:val="54CB7E3C"/>
    <w:rsid w:val="5527584B"/>
    <w:rsid w:val="55B6370E"/>
    <w:rsid w:val="5632548A"/>
    <w:rsid w:val="56F83EAB"/>
    <w:rsid w:val="58675193"/>
    <w:rsid w:val="5A6610C0"/>
    <w:rsid w:val="5B0B0058"/>
    <w:rsid w:val="5B85605C"/>
    <w:rsid w:val="5D0D6A04"/>
    <w:rsid w:val="5D105DFA"/>
    <w:rsid w:val="5D2E6280"/>
    <w:rsid w:val="5D6677C8"/>
    <w:rsid w:val="5E5F664B"/>
    <w:rsid w:val="5E6A32E8"/>
    <w:rsid w:val="5EFB71CC"/>
    <w:rsid w:val="5F2711D9"/>
    <w:rsid w:val="5F7F1015"/>
    <w:rsid w:val="613E7799"/>
    <w:rsid w:val="619726D8"/>
    <w:rsid w:val="6200643D"/>
    <w:rsid w:val="62312EF8"/>
    <w:rsid w:val="62796E1A"/>
    <w:rsid w:val="640721AA"/>
    <w:rsid w:val="652A5B5F"/>
    <w:rsid w:val="657F3B1C"/>
    <w:rsid w:val="659C092C"/>
    <w:rsid w:val="65C43C25"/>
    <w:rsid w:val="678C0773"/>
    <w:rsid w:val="68804644"/>
    <w:rsid w:val="698F3ABF"/>
    <w:rsid w:val="69DB53BE"/>
    <w:rsid w:val="6BAD2A66"/>
    <w:rsid w:val="6BF30DC0"/>
    <w:rsid w:val="6D0A63C2"/>
    <w:rsid w:val="6D834437"/>
    <w:rsid w:val="6DB46CBB"/>
    <w:rsid w:val="6E4C075D"/>
    <w:rsid w:val="6E6623CD"/>
    <w:rsid w:val="6F887A72"/>
    <w:rsid w:val="6FA128E1"/>
    <w:rsid w:val="6FC50AA4"/>
    <w:rsid w:val="711772FF"/>
    <w:rsid w:val="713003C1"/>
    <w:rsid w:val="7141437C"/>
    <w:rsid w:val="71DC40A5"/>
    <w:rsid w:val="728D742F"/>
    <w:rsid w:val="731004AA"/>
    <w:rsid w:val="73593BFF"/>
    <w:rsid w:val="73644352"/>
    <w:rsid w:val="73C7661F"/>
    <w:rsid w:val="762878B8"/>
    <w:rsid w:val="76960176"/>
    <w:rsid w:val="76F6721A"/>
    <w:rsid w:val="776C1A27"/>
    <w:rsid w:val="783E1615"/>
    <w:rsid w:val="78CA2EA9"/>
    <w:rsid w:val="78D1021F"/>
    <w:rsid w:val="7A1940E8"/>
    <w:rsid w:val="7A2F7467"/>
    <w:rsid w:val="7B180857"/>
    <w:rsid w:val="7B4E6013"/>
    <w:rsid w:val="7B5C70B9"/>
    <w:rsid w:val="7C066719"/>
    <w:rsid w:val="7C434C07"/>
    <w:rsid w:val="7CC16666"/>
    <w:rsid w:val="7CC52305"/>
    <w:rsid w:val="7D0C7F34"/>
    <w:rsid w:val="7DA168CE"/>
    <w:rsid w:val="7DF905A7"/>
    <w:rsid w:val="7E086FD3"/>
    <w:rsid w:val="7E53310C"/>
    <w:rsid w:val="7F0709B3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1521</Words>
  <Characters>1674</Characters>
  <Lines>0</Lines>
  <Paragraphs>0</Paragraphs>
  <TotalTime>5</TotalTime>
  <ScaleCrop>false</ScaleCrop>
  <LinksUpToDate>false</LinksUpToDate>
  <CharactersWithSpaces>1743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2025-10-21T22:52:18Z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