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配置管理制度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70D26EC6">
      <w:pPr>
        <w:pStyle w:val="29"/>
        <w:bidi w:val="0"/>
        <w:rPr>
          <w:rFonts w:hint="eastAsia"/>
          <w:lang w:val="en-US" w:eastAsia="zh-CN"/>
        </w:rPr>
      </w:pPr>
      <w:r>
        <w:t>为规范阿克苏智汇人才服务有限公司运维服务的配置管理，通过识别、控制、维护与验证所有配置项，提供一个统一、一致的管理流程，以确保服务环境中所有组件的完整性、准确性和可追溯性，从而支撑服务的稳定运行与高效管理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3DE40D5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本制度适用于公司运维部，管理范围涵盖所有依据ITSS服务目录定义的，为交付运维服务所必需的硬件、软件、文档及服务等配置项。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2A40D24E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统一管理原则：所有配置项必须遵循统一的命名、属性和关系定义规范。</w:t>
      </w:r>
    </w:p>
    <w:p w14:paraId="02439ADE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准确可靠原则：配置管理数据库（CMDB）中的数据必须真实、准确地反映实际环境。</w:t>
      </w:r>
    </w:p>
    <w:p w14:paraId="0AFF7C4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受控变更原则：配置项的任何变更必须经由变更管理流程触发，确保状态可控。</w:t>
      </w:r>
    </w:p>
    <w:p w14:paraId="7546925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持续审计原则：定期对配置项进行审计，确保CMDB数据的完整性。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0E1CE8DF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运维部经理</w:t>
      </w:r>
    </w:p>
    <w:p w14:paraId="14BA94CC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负责定义、维护并推广配置管理流程及相关模板。</w:t>
      </w:r>
    </w:p>
    <w:p w14:paraId="40419380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管理配置管理流程的实施，确保其目标达成。</w:t>
      </w:r>
    </w:p>
    <w:p w14:paraId="365F550F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识别流程改进机会并推动优化。</w:t>
      </w:r>
    </w:p>
    <w:p w14:paraId="4E4BEE38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定期组织配置审计，并负责批准建立配置基线。</w:t>
      </w:r>
    </w:p>
    <w:p w14:paraId="6AB3B4AF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</w:p>
    <w:p w14:paraId="6D310FF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负责配置管理数据库（CMDB）的建立、日常控制与维护。</w:t>
      </w:r>
    </w:p>
    <w:p w14:paraId="62F08A52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确保配置管理数据的完整性与准确性，为其他流程提供可靠信息。</w:t>
      </w:r>
    </w:p>
    <w:p w14:paraId="267E381F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执行配置项数据的定期审计与评估。</w:t>
      </w:r>
    </w:p>
    <w:p w14:paraId="44A2B1A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负责定期生成配置状态报告。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4092AB0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 w14:paraId="4F14E4B9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146BB3B9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1A761D86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5A41AA27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5B1FC05C">
      <w:pPr>
        <w:pStyle w:val="30"/>
        <w:bidi w:val="0"/>
        <w:rPr>
          <w:rFonts w:hint="eastAsia"/>
        </w:rPr>
      </w:pPr>
      <w:r>
        <w:rPr>
          <w:rFonts w:hint="eastAsia"/>
        </w:rPr>
        <w:t>配置项</w:t>
      </w:r>
    </w:p>
    <w:p w14:paraId="3A46A64C">
      <w:pPr>
        <w:pStyle w:val="29"/>
        <w:rPr>
          <w:rFonts w:hint="eastAsia"/>
        </w:rPr>
      </w:pPr>
      <w:r>
        <w:rPr>
          <w:rFonts w:hint="eastAsia"/>
        </w:rPr>
        <w:t>为交付运维服务所必需的、能够被独立管理的基本单元，包括硬件、软件、文档及服务等。</w:t>
      </w:r>
    </w:p>
    <w:p w14:paraId="7CC561C3">
      <w:pPr>
        <w:pStyle w:val="30"/>
        <w:bidi w:val="0"/>
        <w:rPr>
          <w:rFonts w:hint="eastAsia"/>
        </w:rPr>
      </w:pPr>
      <w:r>
        <w:rPr>
          <w:rFonts w:hint="eastAsia"/>
        </w:rPr>
        <w:t>配置管理数据库</w:t>
      </w:r>
    </w:p>
    <w:p w14:paraId="0529F2B2">
      <w:pPr>
        <w:pStyle w:val="29"/>
        <w:rPr>
          <w:rFonts w:hint="eastAsia"/>
        </w:rPr>
      </w:pPr>
      <w:r>
        <w:rPr>
          <w:rFonts w:hint="eastAsia"/>
        </w:rPr>
        <w:t>包含所有配置项及其详细属性、状态及相互关系的数据库。</w:t>
      </w:r>
    </w:p>
    <w:p w14:paraId="2405D130">
      <w:pPr>
        <w:pStyle w:val="30"/>
        <w:bidi w:val="0"/>
        <w:rPr>
          <w:rFonts w:hint="eastAsia"/>
        </w:rPr>
      </w:pPr>
      <w:r>
        <w:rPr>
          <w:rFonts w:hint="eastAsia"/>
        </w:rPr>
        <w:t>配置基线</w:t>
      </w:r>
    </w:p>
    <w:p w14:paraId="191EEE68">
      <w:pPr>
        <w:pStyle w:val="29"/>
      </w:pPr>
      <w:r>
        <w:rPr>
          <w:rFonts w:hint="eastAsia"/>
        </w:rPr>
        <w:t>在特定时间点正式指定的配置项集合的状态，作为后续工作和恢复的基准。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209A877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配置管理策略</w:t>
      </w:r>
    </w:p>
    <w:p w14:paraId="620D71A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配置管理负责人需制定并维护配置管理策略，明确配置管理的目标、范围、角色与职责，定义配置项的命名规则、类别、属性、状态及相互关系。</w:t>
      </w:r>
    </w:p>
    <w:p w14:paraId="44B5362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配置管理范围定义</w:t>
      </w:r>
    </w:p>
    <w:p w14:paraId="75B368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制定详细的配置项识别标准，明确纳入配置管理的资源类型和粒度</w:t>
      </w:r>
    </w:p>
    <w:p w14:paraId="4BEBAB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建立配置项分类体系，按照硬件、软件、文档、服务等维度进行分类管理</w:t>
      </w:r>
    </w:p>
    <w:p w14:paraId="7154A1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定义配置项的生命周期状态，包括：规划中、使用中、已停用、已报废</w:t>
      </w:r>
    </w:p>
    <w:p w14:paraId="3289749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命名规范与属性定义</w:t>
      </w:r>
    </w:p>
    <w:p w14:paraId="76E2811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制定统一的配置项命名规则，确保唯一性和可识别性</w:t>
      </w:r>
    </w:p>
    <w:p w14:paraId="650042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定义各类配置项的关键属性，建立标准属性模板</w:t>
      </w:r>
    </w:p>
    <w:p w14:paraId="781F608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建立配置项关系类型定义，包括：依赖、连接、包含、使用等关系</w:t>
      </w:r>
    </w:p>
    <w:p w14:paraId="78BDC36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配置项识别与定义</w:t>
      </w:r>
    </w:p>
    <w:p w14:paraId="20AFAB3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配置项识别流程</w:t>
      </w:r>
    </w:p>
    <w:p w14:paraId="3F0007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建立系统化的配置项识别机制：</w:t>
      </w:r>
    </w:p>
    <w:p w14:paraId="7462145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新配置项识别：在新系统上线或新设备采购时，同步识别和定义配置项</w:t>
      </w:r>
    </w:p>
    <w:p w14:paraId="1A12EE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现有环境梳理：定期对现有环境进行配置项普查，确保无遗漏</w:t>
      </w:r>
    </w:p>
    <w:p w14:paraId="17CA984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变更触发识别：通过变更流程触发新配置项的识别和定义</w:t>
      </w:r>
    </w:p>
    <w:p w14:paraId="3CD7D52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配置项属性管理</w:t>
      </w:r>
    </w:p>
    <w:p w14:paraId="046073A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核心属性：包括名称、型号、版本、责任人、位置、状态等</w:t>
      </w:r>
    </w:p>
    <w:p w14:paraId="2B393A6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业务属性：关联的业务系统、服务级别、成本中心等</w:t>
      </w:r>
    </w:p>
    <w:p w14:paraId="1E34C77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技术属性：配置参数、性能指标、兼容性信息等</w:t>
      </w:r>
    </w:p>
    <w:p w14:paraId="23955A2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关系属性：与其他配置项的关联关系和依赖关系</w:t>
      </w:r>
    </w:p>
    <w:p w14:paraId="375E20CE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CMDB建设与维护</w:t>
      </w:r>
    </w:p>
    <w:p w14:paraId="7B5F907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CMDB初始化</w:t>
      </w:r>
    </w:p>
    <w:p w14:paraId="0F0C363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制定CMDB建设计划，分阶段实施配置项数据入库</w:t>
      </w:r>
    </w:p>
    <w:p w14:paraId="36F1D2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建立数据质量验证机制，确保初始化数据的准确性</w:t>
      </w:r>
    </w:p>
    <w:p w14:paraId="61EA98A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制定配置基线，记录系统初始状态</w:t>
      </w:r>
    </w:p>
    <w:p w14:paraId="6DB7894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日常维护流程</w:t>
      </w:r>
    </w:p>
    <w:p w14:paraId="0870B8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变更同步：所有配置项变更必须实时同步更新CMDB</w:t>
      </w:r>
    </w:p>
    <w:p w14:paraId="6480E04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定期验证：每月对关键配置项数据进行抽样验证</w:t>
      </w:r>
    </w:p>
    <w:p w14:paraId="194CFA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问题处理：建立CMDB数据问题反馈和纠正机制</w:t>
      </w:r>
    </w:p>
    <w:p w14:paraId="06083BB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配置变更控制</w:t>
      </w:r>
    </w:p>
    <w:p w14:paraId="558B5B5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变更触发机制</w:t>
      </w:r>
    </w:p>
    <w:p w14:paraId="7113630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所有配置项变更必须通过正式的变更管理流程</w:t>
      </w:r>
    </w:p>
    <w:p w14:paraId="2B0170B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建立变更与配置项的关联关系，确保可追溯性</w:t>
      </w:r>
    </w:p>
    <w:p w14:paraId="358E8B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重大变更前必须建立配置基线，便于回滚</w:t>
      </w:r>
    </w:p>
    <w:p w14:paraId="13D6B77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变更验证流程</w:t>
      </w:r>
    </w:p>
    <w:p w14:paraId="7F9AAD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变更实施后必须验证CMDB数据的准确性</w:t>
      </w:r>
    </w:p>
    <w:p w14:paraId="4C84F80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建立变更后配置项状态确认机制</w:t>
      </w:r>
    </w:p>
    <w:p w14:paraId="7C39ED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对变更影响进行分析，更新相关配置项关系</w:t>
      </w:r>
    </w:p>
    <w:p w14:paraId="0632D17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配置状态报告</w:t>
      </w:r>
    </w:p>
    <w:p w14:paraId="55FF074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报告类型与内容</w:t>
      </w:r>
    </w:p>
    <w:p w14:paraId="1C61BB8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建立多层次的配置状态报告体系</w:t>
      </w:r>
    </w:p>
    <w:p w14:paraId="24CFBF9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报告分发与使用</w:t>
      </w:r>
    </w:p>
    <w:p w14:paraId="3BB7771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建立报告分发清单，确保相关方及时获取</w:t>
      </w:r>
    </w:p>
    <w:p w14:paraId="6A44219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将配置数据用于容量规划、影响分析、故障定位等场景</w:t>
      </w:r>
    </w:p>
    <w:p w14:paraId="5016447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基于报告发现推动配置管理改进</w:t>
      </w:r>
    </w:p>
    <w:p w14:paraId="7A83170E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配置审计与改进</w:t>
      </w:r>
    </w:p>
    <w:p w14:paraId="6A0163B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审计计划与执行</w:t>
      </w:r>
    </w:p>
    <w:p w14:paraId="11B601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制定年度配置审计计划，覆盖所有关键配置项</w:t>
      </w:r>
    </w:p>
    <w:p w14:paraId="2C43F54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采用定期审计与专项审计相结合的方式</w:t>
      </w:r>
    </w:p>
    <w:p w14:paraId="55F62B1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审计范围包括：数据准确性、完整性、及时性</w:t>
      </w:r>
    </w:p>
    <w:p w14:paraId="71F2853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问题跟踪与改进</w:t>
      </w:r>
    </w:p>
    <w:p w14:paraId="3267E0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建立审计问题跟踪机制，确保问题及时解决</w:t>
      </w:r>
    </w:p>
    <w:p w14:paraId="5DC1A4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分析问题根本原因，制定预防措施</w:t>
      </w:r>
    </w:p>
    <w:p w14:paraId="5AE6D23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将审计结果纳入持续改进计划</w:t>
      </w:r>
    </w:p>
    <w:p w14:paraId="3CA4496E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关键控制点与测量指标</w:t>
      </w:r>
    </w:p>
    <w:p w14:paraId="4524F84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为确保配置管理流程的有效执行和持续改进，特设定以下关键控制点与量化测量指标。</w:t>
      </w:r>
    </w:p>
    <w:p w14:paraId="5BB382C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</w:t>
      </w:r>
    </w:p>
    <w:p w14:paraId="0C39BCAF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所有配置项的增、删、改操作必须由变更管理流程正式触发。</w:t>
      </w:r>
    </w:p>
    <w:p w14:paraId="4A3ABCEA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CMDB的初始化及重大调整必须建立并经过配置基线审批。</w:t>
      </w:r>
    </w:p>
    <w:p w14:paraId="620549A5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定期配置审计必须执行，审计结果必须被回顾并用于改进。</w:t>
      </w:r>
    </w:p>
    <w:p w14:paraId="50B788F7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过程测量指标</w:t>
      </w:r>
    </w:p>
    <w:p w14:paraId="76BEF85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配置测量指标如表4-1所示</w:t>
      </w:r>
    </w:p>
    <w:p w14:paraId="61DD356B">
      <w:pPr>
        <w:pStyle w:val="29"/>
        <w:ind w:left="0" w:leftChars="0" w:right="0" w:righ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1E841C6E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配置准确率</w:t>
            </w:r>
          </w:p>
        </w:tc>
        <w:tc>
          <w:tcPr>
            <w:tcW w:w="3771" w:type="dxa"/>
          </w:tcPr>
          <w:p w14:paraId="3F68233D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(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准确配置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 xml:space="preserve">次数 /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配置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总次数) × 100%</w:t>
            </w:r>
          </w:p>
        </w:tc>
        <w:tc>
          <w:tcPr>
            <w:tcW w:w="1107" w:type="dxa"/>
          </w:tcPr>
          <w:p w14:paraId="2FCE6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55CD9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≥99%</w:t>
            </w:r>
          </w:p>
        </w:tc>
      </w:tr>
    </w:tbl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17424"/>
      <w:bookmarkStart w:id="12" w:name="_Toc26732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bookmarkStart w:id="16" w:name="_GoBack"/>
      <w:bookmarkEnd w:id="16"/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6953EF3E">
      <w:pPr>
        <w:pStyle w:val="40"/>
        <w:numPr>
          <w:ilvl w:val="0"/>
          <w:numId w:val="8"/>
        </w:numPr>
        <w:bidi w:val="0"/>
      </w:pPr>
      <w:r>
        <w:t>《配置项分类定义表》</w:t>
      </w:r>
    </w:p>
    <w:p w14:paraId="72AC4167">
      <w:pPr>
        <w:pStyle w:val="40"/>
        <w:numPr>
          <w:ilvl w:val="0"/>
          <w:numId w:val="8"/>
        </w:numPr>
        <w:bidi w:val="0"/>
      </w:pPr>
      <w:r>
        <w:rPr>
          <w:rFonts w:hint="default"/>
        </w:rPr>
        <w:t>《配置项属性表》</w:t>
      </w:r>
    </w:p>
    <w:p w14:paraId="592E04E1">
      <w:pPr>
        <w:pStyle w:val="40"/>
        <w:numPr>
          <w:ilvl w:val="0"/>
          <w:numId w:val="8"/>
        </w:numPr>
        <w:bidi w:val="0"/>
      </w:pPr>
      <w:r>
        <w:rPr>
          <w:rFonts w:hint="default"/>
        </w:rPr>
        <w:t>《配置项基本信息审计表》</w:t>
      </w:r>
    </w:p>
    <w:p w14:paraId="35B991C7">
      <w:pPr>
        <w:pStyle w:val="40"/>
        <w:numPr>
          <w:ilvl w:val="0"/>
          <w:numId w:val="8"/>
        </w:numPr>
        <w:bidi w:val="0"/>
      </w:pPr>
      <w:r>
        <w:rPr>
          <w:rFonts w:hint="default"/>
        </w:rPr>
        <w:t>《配置状态报告模板》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D86AD61">
      <w:pPr>
        <w:pStyle w:val="29"/>
        <w:bidi w:val="0"/>
      </w:pPr>
      <w:r>
        <w:t>配置管理过程中产生的所有记录，包括但不限于各类定义表、审计表、状态报告及配置审计报告，应由运维部统一保存，保存期限不少于3年。</w:t>
      </w:r>
    </w:p>
    <w:p w14:paraId="05F117FD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6A6CC54"/>
    <w:multiLevelType w:val="singleLevel"/>
    <w:tmpl w:val="D6A6CC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ACB509"/>
    <w:multiLevelType w:val="singleLevel"/>
    <w:tmpl w:val="DDACB5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2D13D59"/>
    <w:multiLevelType w:val="singleLevel"/>
    <w:tmpl w:val="02D13D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EC9C27E"/>
    <w:multiLevelType w:val="singleLevel"/>
    <w:tmpl w:val="2EC9C2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B69818F"/>
    <w:multiLevelType w:val="singleLevel"/>
    <w:tmpl w:val="6B6981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DCEB3CB"/>
    <w:multiLevelType w:val="singleLevel"/>
    <w:tmpl w:val="6DCEB3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15AA4"/>
    <w:rsid w:val="0055574E"/>
    <w:rsid w:val="0104303E"/>
    <w:rsid w:val="014A4B87"/>
    <w:rsid w:val="014F404B"/>
    <w:rsid w:val="01E07299"/>
    <w:rsid w:val="0211124F"/>
    <w:rsid w:val="029C58B6"/>
    <w:rsid w:val="02CE3596"/>
    <w:rsid w:val="02EA4873"/>
    <w:rsid w:val="02ED6A4D"/>
    <w:rsid w:val="040604A9"/>
    <w:rsid w:val="04E754D3"/>
    <w:rsid w:val="05980692"/>
    <w:rsid w:val="06C4264F"/>
    <w:rsid w:val="073D05DE"/>
    <w:rsid w:val="07660A33"/>
    <w:rsid w:val="0781151E"/>
    <w:rsid w:val="080D4B60"/>
    <w:rsid w:val="09975029"/>
    <w:rsid w:val="09D65B51"/>
    <w:rsid w:val="09F2400E"/>
    <w:rsid w:val="09FC6C3A"/>
    <w:rsid w:val="0B112BB9"/>
    <w:rsid w:val="0B5C3E34"/>
    <w:rsid w:val="0B5D195B"/>
    <w:rsid w:val="0CF12BAD"/>
    <w:rsid w:val="0F4F57A4"/>
    <w:rsid w:val="0FBD6414"/>
    <w:rsid w:val="0FD115EF"/>
    <w:rsid w:val="0FF7237E"/>
    <w:rsid w:val="10134EE9"/>
    <w:rsid w:val="12492C39"/>
    <w:rsid w:val="127C6B6A"/>
    <w:rsid w:val="130628D8"/>
    <w:rsid w:val="131B2827"/>
    <w:rsid w:val="139879D4"/>
    <w:rsid w:val="13D604FC"/>
    <w:rsid w:val="14B42767"/>
    <w:rsid w:val="14DB0757"/>
    <w:rsid w:val="15CC7E09"/>
    <w:rsid w:val="15EC2259"/>
    <w:rsid w:val="16B0772A"/>
    <w:rsid w:val="16C805D0"/>
    <w:rsid w:val="170D06D9"/>
    <w:rsid w:val="17103D25"/>
    <w:rsid w:val="17710C68"/>
    <w:rsid w:val="17BE19D3"/>
    <w:rsid w:val="17DF25E3"/>
    <w:rsid w:val="18503854"/>
    <w:rsid w:val="18846779"/>
    <w:rsid w:val="18F465E3"/>
    <w:rsid w:val="19E020D4"/>
    <w:rsid w:val="1A8E7D82"/>
    <w:rsid w:val="1A9923D9"/>
    <w:rsid w:val="1BC709D8"/>
    <w:rsid w:val="1D997E65"/>
    <w:rsid w:val="1DAF4298"/>
    <w:rsid w:val="1E692834"/>
    <w:rsid w:val="1EFD1033"/>
    <w:rsid w:val="1FCB1131"/>
    <w:rsid w:val="20D91840"/>
    <w:rsid w:val="21555906"/>
    <w:rsid w:val="215C6FE4"/>
    <w:rsid w:val="23A26E72"/>
    <w:rsid w:val="23DD436C"/>
    <w:rsid w:val="23FD59BD"/>
    <w:rsid w:val="24AE02BD"/>
    <w:rsid w:val="24E16D01"/>
    <w:rsid w:val="26C427F2"/>
    <w:rsid w:val="2908648D"/>
    <w:rsid w:val="294F2DD3"/>
    <w:rsid w:val="2975663E"/>
    <w:rsid w:val="2A8B6C6D"/>
    <w:rsid w:val="2AEC2D35"/>
    <w:rsid w:val="2B411006"/>
    <w:rsid w:val="2B612949"/>
    <w:rsid w:val="2E500F2E"/>
    <w:rsid w:val="2F041F69"/>
    <w:rsid w:val="2FC11C09"/>
    <w:rsid w:val="32643BF5"/>
    <w:rsid w:val="333746BC"/>
    <w:rsid w:val="346C0F8D"/>
    <w:rsid w:val="350D601C"/>
    <w:rsid w:val="35DE67BA"/>
    <w:rsid w:val="36883480"/>
    <w:rsid w:val="36914A2B"/>
    <w:rsid w:val="3699743B"/>
    <w:rsid w:val="36B9188B"/>
    <w:rsid w:val="374E46CA"/>
    <w:rsid w:val="375F2433"/>
    <w:rsid w:val="37971BCD"/>
    <w:rsid w:val="37A21A82"/>
    <w:rsid w:val="37DF17C6"/>
    <w:rsid w:val="37E666B0"/>
    <w:rsid w:val="3914549F"/>
    <w:rsid w:val="3A6F65C0"/>
    <w:rsid w:val="3C15187D"/>
    <w:rsid w:val="3C265C15"/>
    <w:rsid w:val="3D5F4115"/>
    <w:rsid w:val="3D775F0D"/>
    <w:rsid w:val="3E287A22"/>
    <w:rsid w:val="3E5A3954"/>
    <w:rsid w:val="3F2D2E17"/>
    <w:rsid w:val="40646D0C"/>
    <w:rsid w:val="40873B7A"/>
    <w:rsid w:val="40B11D0C"/>
    <w:rsid w:val="41D41C6F"/>
    <w:rsid w:val="41DA54D8"/>
    <w:rsid w:val="426164FC"/>
    <w:rsid w:val="43223C0F"/>
    <w:rsid w:val="4368266F"/>
    <w:rsid w:val="43996CCD"/>
    <w:rsid w:val="45EE5265"/>
    <w:rsid w:val="46BF2EEE"/>
    <w:rsid w:val="472B0583"/>
    <w:rsid w:val="47BB1907"/>
    <w:rsid w:val="484F2050"/>
    <w:rsid w:val="48DF5182"/>
    <w:rsid w:val="48FA020D"/>
    <w:rsid w:val="49B33C44"/>
    <w:rsid w:val="49CC1B61"/>
    <w:rsid w:val="4BFB76A0"/>
    <w:rsid w:val="4D1711C1"/>
    <w:rsid w:val="4E0B149B"/>
    <w:rsid w:val="4EAC328B"/>
    <w:rsid w:val="4F1145BD"/>
    <w:rsid w:val="4F6F1974"/>
    <w:rsid w:val="4FBF66F1"/>
    <w:rsid w:val="503F29AA"/>
    <w:rsid w:val="50BE0A71"/>
    <w:rsid w:val="511C5981"/>
    <w:rsid w:val="51F0261E"/>
    <w:rsid w:val="53A72FD1"/>
    <w:rsid w:val="53EC109A"/>
    <w:rsid w:val="54212AF2"/>
    <w:rsid w:val="5486504B"/>
    <w:rsid w:val="54CB7E3C"/>
    <w:rsid w:val="5632548A"/>
    <w:rsid w:val="58675193"/>
    <w:rsid w:val="58705DF6"/>
    <w:rsid w:val="58CB74D0"/>
    <w:rsid w:val="596060B9"/>
    <w:rsid w:val="59AC2C07"/>
    <w:rsid w:val="5A6610C0"/>
    <w:rsid w:val="5A821E11"/>
    <w:rsid w:val="5B0B0058"/>
    <w:rsid w:val="5B85605C"/>
    <w:rsid w:val="5D0D6A04"/>
    <w:rsid w:val="5D2E6280"/>
    <w:rsid w:val="5D6677C8"/>
    <w:rsid w:val="5E6A32E8"/>
    <w:rsid w:val="5EFB71CC"/>
    <w:rsid w:val="5F7F1015"/>
    <w:rsid w:val="613E7799"/>
    <w:rsid w:val="6200643D"/>
    <w:rsid w:val="62312EF8"/>
    <w:rsid w:val="640721AA"/>
    <w:rsid w:val="642126F6"/>
    <w:rsid w:val="652A5B5F"/>
    <w:rsid w:val="657F3B1C"/>
    <w:rsid w:val="659C092C"/>
    <w:rsid w:val="65C43C25"/>
    <w:rsid w:val="678C0773"/>
    <w:rsid w:val="68804644"/>
    <w:rsid w:val="698F3ABF"/>
    <w:rsid w:val="69DB53BE"/>
    <w:rsid w:val="69FF522C"/>
    <w:rsid w:val="6BAD2A66"/>
    <w:rsid w:val="6BF30DC0"/>
    <w:rsid w:val="6D834437"/>
    <w:rsid w:val="6DB46CBB"/>
    <w:rsid w:val="6E272600"/>
    <w:rsid w:val="6E6623CD"/>
    <w:rsid w:val="6F887A72"/>
    <w:rsid w:val="711772FF"/>
    <w:rsid w:val="713003C1"/>
    <w:rsid w:val="7141437C"/>
    <w:rsid w:val="73593BFF"/>
    <w:rsid w:val="73644352"/>
    <w:rsid w:val="73AF1A71"/>
    <w:rsid w:val="73C7661F"/>
    <w:rsid w:val="75414737"/>
    <w:rsid w:val="76901B15"/>
    <w:rsid w:val="76960176"/>
    <w:rsid w:val="76F6721A"/>
    <w:rsid w:val="776C1A27"/>
    <w:rsid w:val="783E1615"/>
    <w:rsid w:val="78CA2EA9"/>
    <w:rsid w:val="78D1021F"/>
    <w:rsid w:val="7903327E"/>
    <w:rsid w:val="7A1940E8"/>
    <w:rsid w:val="7A2F7467"/>
    <w:rsid w:val="7AFB37ED"/>
    <w:rsid w:val="7B4E6013"/>
    <w:rsid w:val="7B5C70B9"/>
    <w:rsid w:val="7B6770D5"/>
    <w:rsid w:val="7C066719"/>
    <w:rsid w:val="7C434C07"/>
    <w:rsid w:val="7CDC31AB"/>
    <w:rsid w:val="7D0C7F34"/>
    <w:rsid w:val="7DA168CE"/>
    <w:rsid w:val="7DBB7264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1506</Words>
  <Characters>1666</Characters>
  <Lines>0</Lines>
  <Paragraphs>0</Paragraphs>
  <TotalTime>12</TotalTime>
  <ScaleCrop>false</ScaleCrop>
  <LinksUpToDate>false</LinksUpToDate>
  <CharactersWithSpaces>1735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2025-10-21T22:43:57Z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