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6FA79">
      <w:pPr>
        <w:pStyle w:val="24"/>
        <w:keepNext w:val="0"/>
        <w:keepLines w:val="0"/>
        <w:pageBreakBefore w:val="0"/>
        <w:widowControl w:val="0"/>
        <w:kinsoku w:val="0"/>
        <w:wordWrap/>
        <w:overflowPunct/>
        <w:topLinePunct w:val="0"/>
        <w:autoSpaceDE w:val="0"/>
        <w:autoSpaceDN w:val="0"/>
        <w:bidi w:val="0"/>
        <w:adjustRightInd w:val="0"/>
        <w:snapToGrid w:val="0"/>
        <w:spacing w:before="3121" w:beforeLines="1000"/>
        <w:textAlignment w:val="baseline"/>
      </w:pPr>
      <w:bookmarkStart w:id="0" w:name="_Toc260"/>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7">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阿克苏智汇人才服务有限</w:t>
      </w:r>
      <w:r>
        <w:t>公司</w:t>
      </w:r>
      <w:bookmarkEnd w:id="0"/>
    </w:p>
    <w:p w14:paraId="1CA859AD">
      <w:pPr>
        <w:pStyle w:val="25"/>
        <w:keepNext w:val="0"/>
        <w:keepLines w:val="0"/>
        <w:pageBreakBefore w:val="0"/>
        <w:widowControl w:val="0"/>
        <w:kinsoku w:val="0"/>
        <w:wordWrap/>
        <w:overflowPunct/>
        <w:topLinePunct w:val="0"/>
        <w:autoSpaceDE w:val="0"/>
        <w:autoSpaceDN w:val="0"/>
        <w:bidi w:val="0"/>
        <w:adjustRightInd w:val="0"/>
        <w:snapToGrid w:val="0"/>
        <w:spacing w:before="0" w:after="625" w:afterLines="200"/>
        <w:textAlignment w:val="baseline"/>
        <w:rPr>
          <w:rFonts w:hint="eastAsia"/>
          <w:lang w:val="en-US" w:eastAsia="zh-CN"/>
        </w:rPr>
      </w:pPr>
      <w:bookmarkStart w:id="1" w:name="_Toc27520"/>
      <w:r>
        <w:rPr>
          <w:rFonts w:hint="eastAsia"/>
          <w:lang w:val="en-US" w:eastAsia="zh-CN"/>
        </w:rPr>
        <w:t>服务可用性和连续性管理制度</w:t>
      </w:r>
      <w:bookmarkEnd w:id="1"/>
    </w:p>
    <w:p w14:paraId="5C99E7F3">
      <w:pPr>
        <w:keepNext w:val="0"/>
        <w:keepLines w:val="0"/>
        <w:pageBreakBefore w:val="0"/>
        <w:widowControl w:val="0"/>
        <w:kinsoku w:val="0"/>
        <w:wordWrap/>
        <w:overflowPunct/>
        <w:topLinePunct w:val="0"/>
        <w:autoSpaceDE w:val="0"/>
        <w:autoSpaceDN w:val="0"/>
        <w:bidi w:val="0"/>
        <w:adjustRightInd w:val="0"/>
        <w:snapToGrid w:val="0"/>
        <w:spacing w:after="625"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ZHRC</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2161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2432" w:type="dxa"/>
          </w:tcPr>
          <w:p w14:paraId="47F44E0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527A687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5E046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40D4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fitText w:val="840" w:id="1984234543"/>
                <w:vertAlign w:val="baseline"/>
                <w:lang w:val="en-US" w:eastAsia="zh-CN"/>
              </w:rPr>
              <w:t>版</w:t>
            </w:r>
            <w:r>
              <w:rPr>
                <w:rFonts w:hint="eastAsia"/>
                <w:spacing w:val="0"/>
                <w:kern w:val="0"/>
                <w:fitText w:val="840" w:id="1984234543"/>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fitText w:val="630" w:id="1331981115"/>
                <w:vertAlign w:val="baseline"/>
                <w:lang w:val="en-US" w:eastAsia="zh-CN"/>
              </w:rPr>
              <w:t>V1.</w:t>
            </w:r>
            <w:r>
              <w:rPr>
                <w:rFonts w:hint="eastAsia"/>
                <w:spacing w:val="0"/>
                <w:kern w:val="0"/>
                <w:u w:val="single"/>
                <w:fitText w:val="630" w:id="1331981115"/>
                <w:vertAlign w:val="baseline"/>
                <w:lang w:val="en-US" w:eastAsia="zh-CN"/>
              </w:rPr>
              <w:t>0</w:t>
            </w:r>
          </w:p>
        </w:tc>
        <w:tc>
          <w:tcPr>
            <w:tcW w:w="2708" w:type="dxa"/>
            <w:shd w:val="clear" w:color="auto" w:fill="auto"/>
          </w:tcPr>
          <w:p w14:paraId="36398C7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4012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A92757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fitText w:val="840" w:id="722747876"/>
                <w:vertAlign w:val="baseline"/>
                <w:lang w:val="en-US" w:eastAsia="zh-CN"/>
              </w:rPr>
              <w:t>批准</w:t>
            </w:r>
            <w:r>
              <w:rPr>
                <w:rFonts w:hint="eastAsia"/>
                <w:spacing w:val="1"/>
                <w:kern w:val="0"/>
                <w:fitText w:val="840" w:id="722747876"/>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105"/>
                <w:kern w:val="0"/>
                <w:sz w:val="21"/>
                <w:u w:val="single"/>
                <w:fitText w:val="630" w:id="676873217"/>
                <w:vertAlign w:val="baseline"/>
                <w:lang w:val="en-US" w:eastAsia="zh-CN"/>
              </w:rPr>
              <w:t>任</w:t>
            </w:r>
            <w:r>
              <w:rPr>
                <w:rFonts w:hint="eastAsia" w:asciiTheme="minorAscii" w:hAnsiTheme="minorAscii" w:eastAsiaTheme="minorEastAsia"/>
                <w:spacing w:val="0"/>
                <w:kern w:val="0"/>
                <w:sz w:val="21"/>
                <w:u w:val="single"/>
                <w:fitText w:val="630" w:id="676873217"/>
                <w:vertAlign w:val="baseline"/>
                <w:lang w:val="en-US" w:eastAsia="zh-CN"/>
              </w:rPr>
              <w:t>鸿</w:t>
            </w:r>
          </w:p>
        </w:tc>
        <w:tc>
          <w:tcPr>
            <w:tcW w:w="2708" w:type="dxa"/>
          </w:tcPr>
          <w:p w14:paraId="370F750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bl>
    <w:p w14:paraId="1DEAC45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615357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544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FB3B2C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78067E3">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D1CA80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C6967C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1C0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EE12DA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4</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10AEB2A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292F32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AD957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105"/>
                <w:kern w:val="0"/>
                <w:sz w:val="21"/>
                <w:fitText w:val="630" w:id="676873217"/>
                <w:vertAlign w:val="baseline"/>
                <w:lang w:val="en-US" w:eastAsia="zh-CN"/>
              </w:rPr>
              <w:t>任</w:t>
            </w:r>
            <w:r>
              <w:rPr>
                <w:rFonts w:hint="eastAsia" w:asciiTheme="minorAscii" w:hAnsiTheme="minorAscii" w:eastAsiaTheme="minorEastAsia"/>
                <w:spacing w:val="0"/>
                <w:kern w:val="0"/>
                <w:sz w:val="21"/>
                <w:fitText w:val="630" w:id="676873217"/>
                <w:vertAlign w:val="baseline"/>
                <w:lang w:val="en-US" w:eastAsia="zh-CN"/>
              </w:rPr>
              <w:t>鸿</w:t>
            </w:r>
          </w:p>
        </w:tc>
      </w:tr>
      <w:tr w14:paraId="6E209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5F4A4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14662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B88D5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F1492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B85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A8447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8C703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970AE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C73CE0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F7C3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50A30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7969F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4D59C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7762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8E27D4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6A6F98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ABEBB57">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_Toc260 </w:instrText>
          </w:r>
          <w:r>
            <w:rPr>
              <w:rFonts w:hint="eastAsia" w:ascii="宋体" w:hAnsi="宋体" w:eastAsia="宋体" w:cs="宋体"/>
              <w:szCs w:val="24"/>
            </w:rPr>
            <w:fldChar w:fldCharType="separate"/>
          </w:r>
          <w:r>
            <w:rPr>
              <w:rFonts w:hint="eastAsia"/>
              <w:lang w:val="en-US" w:eastAsia="zh-CN"/>
            </w:rPr>
            <w:t>阿克苏智汇人才服务有限</w:t>
          </w:r>
          <w:r>
            <w:t>公司</w:t>
          </w:r>
          <w:r>
            <w:tab/>
          </w:r>
          <w:r>
            <w:fldChar w:fldCharType="begin"/>
          </w:r>
          <w:r>
            <w:instrText xml:space="preserve"> PAGEREF _Toc260 \h </w:instrText>
          </w:r>
          <w:r>
            <w:fldChar w:fldCharType="separate"/>
          </w:r>
          <w:r>
            <w:t>1</w:t>
          </w:r>
          <w:r>
            <w:fldChar w:fldCharType="end"/>
          </w:r>
          <w:r>
            <w:rPr>
              <w:rFonts w:hint="eastAsia" w:ascii="宋体" w:hAnsi="宋体" w:eastAsia="宋体" w:cs="宋体"/>
              <w:szCs w:val="24"/>
            </w:rPr>
            <w:fldChar w:fldCharType="end"/>
          </w:r>
        </w:p>
        <w:p w14:paraId="4CE182B2">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_Toc27520 </w:instrText>
          </w:r>
          <w:r>
            <w:rPr>
              <w:rFonts w:hint="eastAsia" w:ascii="宋体" w:hAnsi="宋体" w:eastAsia="宋体" w:cs="宋体"/>
              <w:szCs w:val="24"/>
            </w:rPr>
            <w:fldChar w:fldCharType="separate"/>
          </w:r>
          <w:r>
            <w:rPr>
              <w:rFonts w:hint="eastAsia"/>
              <w:lang w:val="en-US" w:eastAsia="zh-CN"/>
            </w:rPr>
            <w:t>人员工作交接管理制度</w:t>
          </w:r>
          <w:r>
            <w:tab/>
          </w:r>
          <w:r>
            <w:fldChar w:fldCharType="begin"/>
          </w:r>
          <w:r>
            <w:instrText xml:space="preserve"> PAGEREF _Toc27520 \h </w:instrText>
          </w:r>
          <w:r>
            <w:fldChar w:fldCharType="separate"/>
          </w:r>
          <w:r>
            <w:t>1</w:t>
          </w:r>
          <w:r>
            <w:fldChar w:fldCharType="end"/>
          </w:r>
          <w:r>
            <w:rPr>
              <w:rFonts w:hint="eastAsia" w:ascii="宋体" w:hAnsi="宋体" w:eastAsia="宋体" w:cs="宋体"/>
              <w:szCs w:val="24"/>
            </w:rPr>
            <w:fldChar w:fldCharType="end"/>
          </w:r>
        </w:p>
        <w:p w14:paraId="782C915D">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_Toc1824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_Toc1824 \h </w:instrText>
          </w:r>
          <w:r>
            <w:fldChar w:fldCharType="separate"/>
          </w:r>
          <w:r>
            <w:t>4</w:t>
          </w:r>
          <w:r>
            <w:fldChar w:fldCharType="end"/>
          </w:r>
          <w:r>
            <w:rPr>
              <w:rFonts w:hint="eastAsia" w:ascii="宋体" w:hAnsi="宋体" w:eastAsia="宋体" w:cs="宋体"/>
              <w:szCs w:val="24"/>
            </w:rPr>
            <w:fldChar w:fldCharType="end"/>
          </w:r>
        </w:p>
        <w:p w14:paraId="379FBFB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_Toc13369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_Toc13369 \h </w:instrText>
          </w:r>
          <w:r>
            <w:fldChar w:fldCharType="separate"/>
          </w:r>
          <w:r>
            <w:t>4</w:t>
          </w:r>
          <w:r>
            <w:fldChar w:fldCharType="end"/>
          </w:r>
          <w:r>
            <w:rPr>
              <w:rFonts w:hint="eastAsia" w:ascii="宋体" w:hAnsi="宋体" w:eastAsia="宋体" w:cs="宋体"/>
              <w:szCs w:val="24"/>
            </w:rPr>
            <w:fldChar w:fldCharType="end"/>
          </w:r>
        </w:p>
        <w:p w14:paraId="03BA5005">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_Toc14707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_Toc14707 \h </w:instrText>
          </w:r>
          <w:r>
            <w:fldChar w:fldCharType="separate"/>
          </w:r>
          <w:r>
            <w:t>4</w:t>
          </w:r>
          <w:r>
            <w:fldChar w:fldCharType="end"/>
          </w:r>
          <w:r>
            <w:rPr>
              <w:rFonts w:hint="eastAsia" w:ascii="宋体" w:hAnsi="宋体" w:eastAsia="宋体" w:cs="宋体"/>
              <w:szCs w:val="24"/>
            </w:rPr>
            <w:fldChar w:fldCharType="end"/>
          </w:r>
        </w:p>
        <w:p w14:paraId="22E4BBA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_Toc7905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_Toc7905 \h </w:instrText>
          </w:r>
          <w:r>
            <w:fldChar w:fldCharType="separate"/>
          </w:r>
          <w:r>
            <w:t>4</w:t>
          </w:r>
          <w:r>
            <w:fldChar w:fldCharType="end"/>
          </w:r>
          <w:r>
            <w:rPr>
              <w:rFonts w:hint="eastAsia" w:ascii="宋体" w:hAnsi="宋体" w:eastAsia="宋体" w:cs="宋体"/>
              <w:szCs w:val="24"/>
            </w:rPr>
            <w:fldChar w:fldCharType="end"/>
          </w:r>
        </w:p>
        <w:p w14:paraId="262DE691">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_Toc32565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_Toc32565 \h </w:instrText>
          </w:r>
          <w:r>
            <w:fldChar w:fldCharType="separate"/>
          </w:r>
          <w:r>
            <w:t>4</w:t>
          </w:r>
          <w:r>
            <w:fldChar w:fldCharType="end"/>
          </w:r>
          <w:r>
            <w:rPr>
              <w:rFonts w:hint="eastAsia" w:ascii="宋体" w:hAnsi="宋体" w:eastAsia="宋体" w:cs="宋体"/>
              <w:szCs w:val="24"/>
            </w:rPr>
            <w:fldChar w:fldCharType="end"/>
          </w:r>
        </w:p>
        <w:p w14:paraId="587E0AE4">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_Toc7310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_Toc7310 \h </w:instrText>
          </w:r>
          <w:r>
            <w:fldChar w:fldCharType="separate"/>
          </w:r>
          <w:r>
            <w:t>4</w:t>
          </w:r>
          <w:r>
            <w:fldChar w:fldCharType="end"/>
          </w:r>
          <w:r>
            <w:rPr>
              <w:rFonts w:hint="eastAsia" w:ascii="宋体" w:hAnsi="宋体" w:eastAsia="宋体" w:cs="宋体"/>
              <w:szCs w:val="24"/>
            </w:rPr>
            <w:fldChar w:fldCharType="end"/>
          </w:r>
        </w:p>
        <w:p w14:paraId="4ADE403E">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_Toc30963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_Toc30963 \h </w:instrText>
          </w:r>
          <w:r>
            <w:fldChar w:fldCharType="separate"/>
          </w:r>
          <w:r>
            <w:t>4</w:t>
          </w:r>
          <w:r>
            <w:fldChar w:fldCharType="end"/>
          </w:r>
          <w:r>
            <w:rPr>
              <w:rFonts w:hint="eastAsia" w:ascii="宋体" w:hAnsi="宋体" w:eastAsia="宋体" w:cs="宋体"/>
              <w:szCs w:val="24"/>
            </w:rPr>
            <w:fldChar w:fldCharType="end"/>
          </w:r>
        </w:p>
        <w:p w14:paraId="406B10D3">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_Toc14370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_Toc14370 \h </w:instrText>
          </w:r>
          <w:r>
            <w:fldChar w:fldCharType="separate"/>
          </w:r>
          <w:r>
            <w:t>4</w:t>
          </w:r>
          <w:r>
            <w:fldChar w:fldCharType="end"/>
          </w:r>
          <w:r>
            <w:rPr>
              <w:rFonts w:hint="eastAsia" w:ascii="宋体" w:hAnsi="宋体" w:eastAsia="宋体" w:cs="宋体"/>
              <w:szCs w:val="24"/>
            </w:rPr>
            <w:fldChar w:fldCharType="end"/>
          </w:r>
        </w:p>
        <w:p w14:paraId="6559700C">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_Toc26732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_Toc26732 \h </w:instrText>
          </w:r>
          <w:r>
            <w:fldChar w:fldCharType="separate"/>
          </w:r>
          <w:r>
            <w:t>4</w:t>
          </w:r>
          <w:r>
            <w:fldChar w:fldCharType="end"/>
          </w:r>
          <w:r>
            <w:rPr>
              <w:rFonts w:hint="eastAsia" w:ascii="宋体" w:hAnsi="宋体" w:eastAsia="宋体" w:cs="宋体"/>
              <w:szCs w:val="24"/>
            </w:rPr>
            <w:fldChar w:fldCharType="end"/>
          </w:r>
        </w:p>
        <w:p w14:paraId="78EBAF05">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_Toc3387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_Toc3387 \h </w:instrText>
          </w:r>
          <w:r>
            <w:fldChar w:fldCharType="separate"/>
          </w:r>
          <w:r>
            <w:t>4</w:t>
          </w:r>
          <w:r>
            <w:fldChar w:fldCharType="end"/>
          </w:r>
          <w:r>
            <w:rPr>
              <w:rFonts w:hint="eastAsia" w:ascii="宋体" w:hAnsi="宋体" w:eastAsia="宋体" w:cs="宋体"/>
              <w:szCs w:val="24"/>
            </w:rPr>
            <w:fldChar w:fldCharType="end"/>
          </w:r>
        </w:p>
        <w:p w14:paraId="6AD5517B">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_Toc16438 \h </w:instrText>
          </w:r>
          <w:r>
            <w:fldChar w:fldCharType="separate"/>
          </w:r>
          <w:r>
            <w:t>4</w:t>
          </w:r>
          <w:r>
            <w:fldChar w:fldCharType="end"/>
          </w:r>
          <w:r>
            <w:rPr>
              <w:rFonts w:hint="eastAsia" w:ascii="宋体" w:hAnsi="宋体" w:eastAsia="宋体" w:cs="宋体"/>
              <w:szCs w:val="24"/>
            </w:rPr>
            <w:fldChar w:fldCharType="end"/>
          </w:r>
        </w:p>
        <w:p w14:paraId="05460C6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72DD7F8">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869B1E">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1824"/>
      <w:r>
        <w:rPr>
          <w:rFonts w:hint="eastAsia"/>
          <w:lang w:val="en-US" w:eastAsia="zh-CN"/>
        </w:rPr>
        <w:t>总则</w:t>
      </w:r>
      <w:bookmarkEnd w:id="2"/>
    </w:p>
    <w:p w14:paraId="151B219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3369"/>
      <w:r>
        <w:rPr>
          <w:rFonts w:hint="eastAsia"/>
          <w:lang w:val="en-US" w:eastAsia="zh-CN"/>
        </w:rPr>
        <w:t>目的</w:t>
      </w:r>
      <w:bookmarkEnd w:id="3"/>
    </w:p>
    <w:p w14:paraId="3ABC243E">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阿克苏智汇人才服务有限公司运维服务的可用性与连续性管理，确保关键业务服务在约定水平下持续、稳定运行，并在中断事件后能迅速有效地恢复，以保障客户业务运营，履行服务级别协议（SLA），特制定本制度。</w:t>
      </w:r>
    </w:p>
    <w:p w14:paraId="74FEE6B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4707"/>
      <w:r>
        <w:rPr>
          <w:rFonts w:hint="eastAsia"/>
          <w:lang w:val="en-US" w:eastAsia="zh-CN"/>
        </w:rPr>
        <w:t>适用范围</w:t>
      </w:r>
      <w:bookmarkEnd w:id="4"/>
    </w:p>
    <w:p w14:paraId="1F213C3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本制度适用于公司运维部、研发部及所有参与关键运维服务交付的部门，管理对象为纳入ITSS服务目录的所有关键业务服务及其相关的信息系统与基础设施。</w:t>
      </w:r>
    </w:p>
    <w:p w14:paraId="1D3A738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7905"/>
      <w:r>
        <w:rPr>
          <w:rFonts w:hint="eastAsia"/>
          <w:lang w:val="en-US" w:eastAsia="zh-CN"/>
        </w:rPr>
        <w:t>原则</w:t>
      </w:r>
      <w:bookmarkEnd w:id="5"/>
    </w:p>
    <w:p w14:paraId="27FE6AF2">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业务导向原则：可用性与连续性管理活动必须基于业务需求和对业务影响的分析。</w:t>
      </w:r>
    </w:p>
    <w:p w14:paraId="1B1AE8C7">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预防与恢复并重原则：在主动预防服务中断的同时，必须具备有效恢复服务的能力。</w:t>
      </w:r>
    </w:p>
    <w:p w14:paraId="4ED56F79">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持续改进原则：定期评审和测试，确保管理策略与计划持续有效并不断优化。</w:t>
      </w:r>
    </w:p>
    <w:p w14:paraId="528ADB12">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成本效益平衡原则：控制措施的选择应与服务中断可能造成的业务损失相平衡。</w:t>
      </w:r>
    </w:p>
    <w:p w14:paraId="6FCDC5E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32565"/>
      <w:r>
        <w:rPr>
          <w:rFonts w:hint="eastAsia"/>
          <w:lang w:val="en-US" w:eastAsia="zh-CN"/>
        </w:rPr>
        <w:t>岗位职责</w:t>
      </w:r>
      <w:bookmarkEnd w:id="6"/>
    </w:p>
    <w:p w14:paraId="679DEFC9">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运维部经理</w:t>
      </w:r>
      <w:r>
        <w:rPr>
          <w:rFonts w:hint="default"/>
          <w:lang w:val="en-US" w:eastAsia="zh-CN"/>
        </w:rPr>
        <w:t>：</w:t>
      </w:r>
    </w:p>
    <w:p w14:paraId="67D90B5B">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负责本制度的制定、推行、监督与持续改进。</w:t>
      </w:r>
    </w:p>
    <w:p w14:paraId="08396D4E">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领导业务影响分析（BIA），组织制定和维护《服务连续性计划》。</w:t>
      </w:r>
    </w:p>
    <w:p w14:paraId="1CB54608">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协调资源，确保可用性监控与连续性演练的有效执行。</w:t>
      </w:r>
    </w:p>
    <w:p w14:paraId="0D73206D">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运维部：</w:t>
      </w:r>
    </w:p>
    <w:p w14:paraId="7F8A7A07">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负责日常服务可用性监控、数据收集与报告。</w:t>
      </w:r>
    </w:p>
    <w:p w14:paraId="626AF0F5">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执行可用性改进措施和连续性恢复操作。</w:t>
      </w:r>
    </w:p>
    <w:p w14:paraId="49A4CA63">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维护关键服务的冗余架构和备份系统。</w:t>
      </w:r>
    </w:p>
    <w:p w14:paraId="7910C5DA">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研发部：</w:t>
      </w:r>
    </w:p>
    <w:p w14:paraId="6DEBEE2E">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在系统设计与变更中考虑并实现可用性与可恢复性需求。</w:t>
      </w:r>
    </w:p>
    <w:p w14:paraId="1F710196">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协助分析系统架构弱点，参与连续性计划的制定。</w:t>
      </w:r>
    </w:p>
    <w:p w14:paraId="3676D1ED">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人力部：</w:t>
      </w:r>
    </w:p>
    <w:p w14:paraId="7A8117AD">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确保关键岗位人员的可用性，并协助组织连续性相关的培训与意识教育。</w:t>
      </w:r>
    </w:p>
    <w:p w14:paraId="744EE43F">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7" w:name="_Toc7310"/>
      <w:r>
        <w:rPr>
          <w:rFonts w:hint="eastAsia"/>
          <w:lang w:val="en-US" w:eastAsia="zh-CN"/>
        </w:rPr>
        <w:t>引用依据</w:t>
      </w:r>
      <w:bookmarkEnd w:id="7"/>
    </w:p>
    <w:p w14:paraId="367FBF9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本制度制定引用了以下国家标准与行业规范：</w:t>
      </w:r>
    </w:p>
    <w:p w14:paraId="7700851D">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28827.1-2022 《信息技术服务 运行维护 第1部分：通用要求》</w:t>
      </w:r>
    </w:p>
    <w:p w14:paraId="43922524">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28827.2-2012 《信息技术服务 运行维护 第2部分：交付规范》</w:t>
      </w:r>
    </w:p>
    <w:p w14:paraId="6BCB9678">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GB/T 28827.3-2012 《信息技术服务 运行维护 第3部分：应急响应规范》</w:t>
      </w:r>
    </w:p>
    <w:p w14:paraId="05361DEF">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T/CESA 1299—2023 《信息技术服务 运行维护服务能力成熟度模型》</w:t>
      </w:r>
    </w:p>
    <w:p w14:paraId="3078E5D4">
      <w:pPr>
        <w:pStyle w:val="28"/>
        <w:keepNext w:val="0"/>
        <w:keepLines w:val="0"/>
        <w:pageBreakBefore w:val="0"/>
        <w:widowControl w:val="0"/>
        <w:kinsoku w:val="0"/>
        <w:wordWrap/>
        <w:overflowPunct/>
        <w:autoSpaceDE w:val="0"/>
        <w:autoSpaceDN w:val="0"/>
        <w:bidi w:val="0"/>
        <w:adjustRightInd w:val="0"/>
        <w:snapToGrid w:val="0"/>
        <w:textAlignment w:val="baseline"/>
      </w:pPr>
      <w:bookmarkStart w:id="8" w:name="_Toc30963"/>
      <w:r>
        <w:rPr>
          <w:rFonts w:hint="eastAsia"/>
          <w:lang w:val="en-US" w:eastAsia="zh-CN"/>
        </w:rPr>
        <w:t>定义与术语</w:t>
      </w:r>
      <w:bookmarkEnd w:id="8"/>
    </w:p>
    <w:p w14:paraId="7B8594E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服务可用性</w:t>
      </w:r>
    </w:p>
    <w:p w14:paraId="1938888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指一项服务在约定的服务时间内，可供正常使用的比例，通常以百分比表示。</w:t>
      </w:r>
    </w:p>
    <w:p w14:paraId="4448CBB3">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服务连续性</w:t>
      </w:r>
    </w:p>
    <w:p w14:paraId="483FD64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指在发生重大服务中断或灾难时，组织保持关键业务服务持续运作或快速恢复的能力。</w:t>
      </w:r>
    </w:p>
    <w:p w14:paraId="511CE7AB">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业务影响分析（BIA）</w:t>
      </w:r>
    </w:p>
    <w:p w14:paraId="02AECE4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识别关键业务服务、评估中断影响及确定恢复优先级和目标的过程。</w:t>
      </w:r>
    </w:p>
    <w:p w14:paraId="6B0C49F3">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恢复时间目标（RTO）</w:t>
      </w:r>
    </w:p>
    <w:p w14:paraId="15C33B4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服务中断后，可容许的最长恢复时间。</w:t>
      </w:r>
    </w:p>
    <w:p w14:paraId="60959A81">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恢复点目标（RPO）</w:t>
      </w:r>
    </w:p>
    <w:p w14:paraId="6E8BD05E">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服务中断后，可容许的最大数据丢失量。</w:t>
      </w:r>
    </w:p>
    <w:p w14:paraId="43593397">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平均无故障时间（MTBF）</w:t>
      </w:r>
    </w:p>
    <w:p w14:paraId="3E2F201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系统或组件在两次故障之间正常工作的平均时间。</w:t>
      </w:r>
    </w:p>
    <w:p w14:paraId="1D9CF09F">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平均修复时间（MTTR）</w:t>
      </w:r>
    </w:p>
    <w:p w14:paraId="4C4C2DB3">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eastAsia"/>
        </w:rPr>
        <w:t>从故障发生到服务恢复所需的平均时间。</w:t>
      </w:r>
    </w:p>
    <w:p w14:paraId="60EF8C3F">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4370"/>
      <w:r>
        <w:rPr>
          <w:rFonts w:hint="eastAsia"/>
          <w:lang w:val="en-US" w:eastAsia="zh-CN"/>
        </w:rPr>
        <w:t>管理内容与要求</w:t>
      </w:r>
      <w:bookmarkEnd w:id="9"/>
    </w:p>
    <w:p w14:paraId="5D89BE9A">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服务可用性管理</w:t>
      </w:r>
    </w:p>
    <w:p w14:paraId="34D78BC4">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可用性目标管理</w:t>
      </w:r>
    </w:p>
    <w:p w14:paraId="01387F7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基于服务级别协议（SLA）和业务需求，为每项关键服务制定明确的可用性目标，通常以百分比形式表示（如99.9%、99.99%）</w:t>
      </w:r>
    </w:p>
    <w:p w14:paraId="572D0A5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可用性目标应包含相关的时间基准（如月度、季度）和计算方式</w:t>
      </w:r>
    </w:p>
    <w:p w14:paraId="0644D346">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建立可用性目标的审批和变更流程，任何调整需经</w:t>
      </w:r>
      <w:r>
        <w:rPr>
          <w:rFonts w:hint="eastAsia"/>
          <w:lang w:val="en-US" w:eastAsia="zh-CN"/>
        </w:rPr>
        <w:t>运维部经理审批</w:t>
      </w:r>
    </w:p>
    <w:p w14:paraId="6CE3C420">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系统框架管理</w:t>
      </w:r>
    </w:p>
    <w:p w14:paraId="6CEE4972">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识别支撑关键业务服务的所有配置项，包括硬件、软件、网络设备等</w:t>
      </w:r>
    </w:p>
    <w:p w14:paraId="46F3D14D">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建立系统框架文档，明确各配置项之间的依赖关系和影响范围</w:t>
      </w:r>
    </w:p>
    <w:p w14:paraId="09CD4782">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定期（至少每季度）更新系统框架，确保其与实际环境保持一致</w:t>
      </w:r>
    </w:p>
    <w:p w14:paraId="153D55A6">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识别系统中的单点故障，制定相应的冗余或备份方案</w:t>
      </w:r>
    </w:p>
    <w:p w14:paraId="1267277A">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监控与数据收集</w:t>
      </w:r>
    </w:p>
    <w:p w14:paraId="016413BF">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建立7×24小时监控机制，覆盖所有关键服务及相关配置项</w:t>
      </w:r>
    </w:p>
    <w:p w14:paraId="5C6588B2">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监控指标应包括但不限于：服务响应时间、吞吐量、错误率、资源利用率等</w:t>
      </w:r>
    </w:p>
    <w:p w14:paraId="40B8B5CE">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确保监控数据的准确性和完整性，建立数据质量控制机制</w:t>
      </w:r>
    </w:p>
    <w:p w14:paraId="4E52BBC5">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监控数据应保存至少13个月，以支持趋势分析和容量规划</w:t>
      </w:r>
    </w:p>
    <w:p w14:paraId="569632CC">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可用性分析与改进</w:t>
      </w:r>
    </w:p>
    <w:p w14:paraId="0C87FBCE">
      <w:pPr>
        <w:pStyle w:val="29"/>
        <w:keepNext w:val="0"/>
        <w:keepLines w:val="0"/>
        <w:pageBreakBefore w:val="0"/>
        <w:widowControl w:val="0"/>
        <w:numPr>
          <w:ilvl w:val="0"/>
          <w:numId w:val="10"/>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每月编制《服务可用性分析报告》，内容包括：</w:t>
      </w:r>
    </w:p>
    <w:p w14:paraId="329ACE27">
      <w:pPr>
        <w:pStyle w:val="29"/>
        <w:keepNext w:val="0"/>
        <w:keepLines w:val="0"/>
        <w:pageBreakBefore w:val="0"/>
        <w:widowControl w:val="0"/>
        <w:numPr>
          <w:ilvl w:val="0"/>
          <w:numId w:val="11"/>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各项服务的实际可用性数据与目标对比</w:t>
      </w:r>
    </w:p>
    <w:p w14:paraId="185645A4">
      <w:pPr>
        <w:pStyle w:val="29"/>
        <w:keepNext w:val="0"/>
        <w:keepLines w:val="0"/>
        <w:pageBreakBefore w:val="0"/>
        <w:widowControl w:val="0"/>
        <w:numPr>
          <w:ilvl w:val="0"/>
          <w:numId w:val="11"/>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服务中断事件的统计和分析</w:t>
      </w:r>
    </w:p>
    <w:p w14:paraId="152C7DF7">
      <w:pPr>
        <w:pStyle w:val="29"/>
        <w:keepNext w:val="0"/>
        <w:keepLines w:val="0"/>
        <w:pageBreakBefore w:val="0"/>
        <w:widowControl w:val="0"/>
        <w:numPr>
          <w:ilvl w:val="0"/>
          <w:numId w:val="11"/>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趋势分析和预测</w:t>
      </w:r>
    </w:p>
    <w:p w14:paraId="6BF10FFD">
      <w:pPr>
        <w:pStyle w:val="29"/>
        <w:keepNext w:val="0"/>
        <w:keepLines w:val="0"/>
        <w:pageBreakBefore w:val="0"/>
        <w:widowControl w:val="0"/>
        <w:numPr>
          <w:ilvl w:val="0"/>
          <w:numId w:val="11"/>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改进建议</w:t>
      </w:r>
    </w:p>
    <w:p w14:paraId="7A55A165">
      <w:pPr>
        <w:pStyle w:val="29"/>
        <w:keepNext w:val="0"/>
        <w:keepLines w:val="0"/>
        <w:pageBreakBefore w:val="0"/>
        <w:widowControl w:val="0"/>
        <w:numPr>
          <w:ilvl w:val="0"/>
          <w:numId w:val="10"/>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对未达到可用性目标的服务进行根本原因分析</w:t>
      </w:r>
    </w:p>
    <w:p w14:paraId="67A53A32">
      <w:pPr>
        <w:pStyle w:val="29"/>
        <w:keepNext w:val="0"/>
        <w:keepLines w:val="0"/>
        <w:pageBreakBefore w:val="0"/>
        <w:widowControl w:val="0"/>
        <w:numPr>
          <w:ilvl w:val="0"/>
          <w:numId w:val="10"/>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制定并跟踪改进措施的实施，确保问题得到有效解决</w:t>
      </w:r>
    </w:p>
    <w:p w14:paraId="622040C1">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服务连续性管理</w:t>
      </w:r>
    </w:p>
    <w:p w14:paraId="58E7A54E">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业务影响分析（BIA）</w:t>
      </w:r>
    </w:p>
    <w:p w14:paraId="27C53BFE">
      <w:pPr>
        <w:pStyle w:val="29"/>
        <w:keepNext w:val="0"/>
        <w:keepLines w:val="0"/>
        <w:pageBreakBefore w:val="0"/>
        <w:widowControl w:val="0"/>
        <w:numPr>
          <w:ilvl w:val="0"/>
          <w:numId w:val="1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每年至少进行一次全面的业务影响分析</w:t>
      </w:r>
    </w:p>
    <w:p w14:paraId="205F0B97">
      <w:pPr>
        <w:pStyle w:val="29"/>
        <w:keepNext w:val="0"/>
        <w:keepLines w:val="0"/>
        <w:pageBreakBefore w:val="0"/>
        <w:widowControl w:val="0"/>
        <w:numPr>
          <w:ilvl w:val="0"/>
          <w:numId w:val="1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BIA应涵盖以下内容：</w:t>
      </w:r>
    </w:p>
    <w:p w14:paraId="49BAE3FA">
      <w:pPr>
        <w:pStyle w:val="29"/>
        <w:keepNext w:val="0"/>
        <w:keepLines w:val="0"/>
        <w:pageBreakBefore w:val="0"/>
        <w:widowControl w:val="0"/>
        <w:numPr>
          <w:ilvl w:val="0"/>
          <w:numId w:val="13"/>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识别关键业务服务及其优先级</w:t>
      </w:r>
    </w:p>
    <w:p w14:paraId="571CAF4B">
      <w:pPr>
        <w:pStyle w:val="29"/>
        <w:keepNext w:val="0"/>
        <w:keepLines w:val="0"/>
        <w:pageBreakBefore w:val="0"/>
        <w:widowControl w:val="0"/>
        <w:numPr>
          <w:ilvl w:val="0"/>
          <w:numId w:val="13"/>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评估服务中断对业务的财务和非财务影响</w:t>
      </w:r>
    </w:p>
    <w:p w14:paraId="58AAF866">
      <w:pPr>
        <w:pStyle w:val="29"/>
        <w:keepNext w:val="0"/>
        <w:keepLines w:val="0"/>
        <w:pageBreakBefore w:val="0"/>
        <w:widowControl w:val="0"/>
        <w:numPr>
          <w:ilvl w:val="0"/>
          <w:numId w:val="13"/>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确定各项服务的恢复时间目标（RTO）和恢复点目标（RPO）</w:t>
      </w:r>
    </w:p>
    <w:p w14:paraId="72D20F7B">
      <w:pPr>
        <w:pStyle w:val="29"/>
        <w:keepNext w:val="0"/>
        <w:keepLines w:val="0"/>
        <w:pageBreakBefore w:val="0"/>
        <w:widowControl w:val="0"/>
        <w:numPr>
          <w:ilvl w:val="0"/>
          <w:numId w:val="13"/>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识别关键依赖资源（人员、技术、设施等）</w:t>
      </w:r>
    </w:p>
    <w:p w14:paraId="7D9CBE93">
      <w:pPr>
        <w:pStyle w:val="29"/>
        <w:keepNext w:val="0"/>
        <w:keepLines w:val="0"/>
        <w:pageBreakBefore w:val="0"/>
        <w:widowControl w:val="0"/>
        <w:numPr>
          <w:ilvl w:val="0"/>
          <w:numId w:val="1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BIA结果需经相关部门确认，并作为连续性计划的基础</w:t>
      </w:r>
    </w:p>
    <w:p w14:paraId="6A2764B8">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连续性策略制定</w:t>
      </w:r>
    </w:p>
    <w:p w14:paraId="2F5021C6">
      <w:pPr>
        <w:pStyle w:val="29"/>
        <w:keepNext w:val="0"/>
        <w:keepLines w:val="0"/>
        <w:pageBreakBefore w:val="0"/>
        <w:widowControl w:val="0"/>
        <w:numPr>
          <w:ilvl w:val="0"/>
          <w:numId w:val="1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基于BIA结果，制定相应的风险缓解措施，包括：</w:t>
      </w:r>
    </w:p>
    <w:p w14:paraId="1510C05C">
      <w:pPr>
        <w:pStyle w:val="29"/>
        <w:keepNext w:val="0"/>
        <w:keepLines w:val="0"/>
        <w:pageBreakBefore w:val="0"/>
        <w:widowControl w:val="0"/>
        <w:numPr>
          <w:ilvl w:val="0"/>
          <w:numId w:val="15"/>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预防性措施：防止中断发生</w:t>
      </w:r>
    </w:p>
    <w:p w14:paraId="752BA44A">
      <w:pPr>
        <w:pStyle w:val="29"/>
        <w:keepNext w:val="0"/>
        <w:keepLines w:val="0"/>
        <w:pageBreakBefore w:val="0"/>
        <w:widowControl w:val="0"/>
        <w:numPr>
          <w:ilvl w:val="0"/>
          <w:numId w:val="15"/>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减轻性措施：降低中断影响</w:t>
      </w:r>
    </w:p>
    <w:p w14:paraId="1100D815">
      <w:pPr>
        <w:pStyle w:val="29"/>
        <w:keepNext w:val="0"/>
        <w:keepLines w:val="0"/>
        <w:pageBreakBefore w:val="0"/>
        <w:widowControl w:val="0"/>
        <w:numPr>
          <w:ilvl w:val="0"/>
          <w:numId w:val="15"/>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恢复性措施：确保服务快速恢复</w:t>
      </w:r>
    </w:p>
    <w:p w14:paraId="4B70E140">
      <w:pPr>
        <w:pStyle w:val="29"/>
        <w:keepNext w:val="0"/>
        <w:keepLines w:val="0"/>
        <w:pageBreakBefore w:val="0"/>
        <w:widowControl w:val="0"/>
        <w:numPr>
          <w:ilvl w:val="0"/>
          <w:numId w:val="1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连续性策略应综合考虑成本效益，确保投入与业务影响相匹配</w:t>
      </w:r>
    </w:p>
    <w:p w14:paraId="0D7656E0">
      <w:pPr>
        <w:pStyle w:val="29"/>
        <w:keepNext w:val="0"/>
        <w:keepLines w:val="0"/>
        <w:pageBreakBefore w:val="0"/>
        <w:widowControl w:val="0"/>
        <w:numPr>
          <w:ilvl w:val="0"/>
          <w:numId w:val="14"/>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策略需明确备份方案、备用站点、应急资源等关键要素</w:t>
      </w:r>
    </w:p>
    <w:p w14:paraId="0AD95854">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连续性计划开发</w:t>
      </w:r>
    </w:p>
    <w:p w14:paraId="33F8B04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编制详细的《服务连续性计划》，内容包括：</w:t>
      </w:r>
    </w:p>
    <w:p w14:paraId="4D3F04ED">
      <w:pPr>
        <w:pStyle w:val="29"/>
        <w:keepNext w:val="0"/>
        <w:keepLines w:val="0"/>
        <w:pageBreakBefore w:val="0"/>
        <w:widowControl w:val="0"/>
        <w:numPr>
          <w:ilvl w:val="0"/>
          <w:numId w:val="1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应急响应流程和通信计划</w:t>
      </w:r>
    </w:p>
    <w:p w14:paraId="78A93CF9">
      <w:pPr>
        <w:pStyle w:val="29"/>
        <w:keepNext w:val="0"/>
        <w:keepLines w:val="0"/>
        <w:pageBreakBefore w:val="0"/>
        <w:widowControl w:val="0"/>
        <w:numPr>
          <w:ilvl w:val="0"/>
          <w:numId w:val="17"/>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恢复流程和操作步骤</w:t>
      </w:r>
    </w:p>
    <w:p w14:paraId="6EF90BFB">
      <w:pPr>
        <w:pStyle w:val="29"/>
        <w:keepNext w:val="0"/>
        <w:keepLines w:val="0"/>
        <w:pageBreakBefore w:val="0"/>
        <w:widowControl w:val="0"/>
        <w:numPr>
          <w:ilvl w:val="0"/>
          <w:numId w:val="17"/>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人员职责和授权矩阵</w:t>
      </w:r>
    </w:p>
    <w:p w14:paraId="79869DE8">
      <w:pPr>
        <w:pStyle w:val="29"/>
        <w:keepNext w:val="0"/>
        <w:keepLines w:val="0"/>
        <w:pageBreakBefore w:val="0"/>
        <w:widowControl w:val="0"/>
        <w:numPr>
          <w:ilvl w:val="0"/>
          <w:numId w:val="17"/>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所需资源和设备清单</w:t>
      </w:r>
    </w:p>
    <w:p w14:paraId="1C17A61C">
      <w:pPr>
        <w:pStyle w:val="29"/>
        <w:keepNext w:val="0"/>
        <w:keepLines w:val="0"/>
        <w:pageBreakBefore w:val="0"/>
        <w:widowControl w:val="0"/>
        <w:numPr>
          <w:ilvl w:val="0"/>
          <w:numId w:val="17"/>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外部依赖和供应商联系信息</w:t>
      </w:r>
    </w:p>
    <w:p w14:paraId="0A8D56DC">
      <w:pPr>
        <w:pStyle w:val="29"/>
        <w:keepNext w:val="0"/>
        <w:keepLines w:val="0"/>
        <w:pageBreakBefore w:val="0"/>
        <w:widowControl w:val="0"/>
        <w:numPr>
          <w:ilvl w:val="0"/>
          <w:numId w:val="1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计划应具有可操作性，确保在紧急情况下能够有效执行</w:t>
      </w:r>
    </w:p>
    <w:p w14:paraId="5586CDEC">
      <w:pPr>
        <w:pStyle w:val="29"/>
        <w:keepNext w:val="0"/>
        <w:keepLines w:val="0"/>
        <w:pageBreakBefore w:val="0"/>
        <w:widowControl w:val="0"/>
        <w:numPr>
          <w:ilvl w:val="0"/>
          <w:numId w:val="1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建立计划的版本控制和分发机制</w:t>
      </w:r>
    </w:p>
    <w:p w14:paraId="208B658D">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演练与测试</w:t>
      </w:r>
    </w:p>
    <w:p w14:paraId="3AEEA9FE">
      <w:pPr>
        <w:pStyle w:val="29"/>
        <w:keepNext w:val="0"/>
        <w:keepLines w:val="0"/>
        <w:pageBreakBefore w:val="0"/>
        <w:widowControl w:val="0"/>
        <w:numPr>
          <w:ilvl w:val="0"/>
          <w:numId w:val="18"/>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制定年度连续性演练计划，覆盖所有关键业务服务</w:t>
      </w:r>
    </w:p>
    <w:p w14:paraId="65B63F5E">
      <w:pPr>
        <w:pStyle w:val="29"/>
        <w:keepNext w:val="0"/>
        <w:keepLines w:val="0"/>
        <w:pageBreakBefore w:val="0"/>
        <w:widowControl w:val="0"/>
        <w:numPr>
          <w:ilvl w:val="0"/>
          <w:numId w:val="18"/>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演练形式应包括：</w:t>
      </w:r>
    </w:p>
    <w:p w14:paraId="4B8B99C8">
      <w:pPr>
        <w:pStyle w:val="29"/>
        <w:keepNext w:val="0"/>
        <w:keepLines w:val="0"/>
        <w:pageBreakBefore w:val="0"/>
        <w:widowControl w:val="0"/>
        <w:numPr>
          <w:ilvl w:val="0"/>
          <w:numId w:val="19"/>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桌面推演：每季度至少一次</w:t>
      </w:r>
    </w:p>
    <w:p w14:paraId="4A44A063">
      <w:pPr>
        <w:pStyle w:val="29"/>
        <w:keepNext w:val="0"/>
        <w:keepLines w:val="0"/>
        <w:pageBreakBefore w:val="0"/>
        <w:widowControl w:val="0"/>
        <w:numPr>
          <w:ilvl w:val="0"/>
          <w:numId w:val="19"/>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模拟演练：每半年至少一次</w:t>
      </w:r>
    </w:p>
    <w:p w14:paraId="7BAE7408">
      <w:pPr>
        <w:pStyle w:val="29"/>
        <w:keepNext w:val="0"/>
        <w:keepLines w:val="0"/>
        <w:pageBreakBefore w:val="0"/>
        <w:widowControl w:val="0"/>
        <w:numPr>
          <w:ilvl w:val="0"/>
          <w:numId w:val="19"/>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全面演练：每年至少一次</w:t>
      </w:r>
    </w:p>
    <w:p w14:paraId="1D1BA0DC">
      <w:pPr>
        <w:pStyle w:val="29"/>
        <w:keepNext w:val="0"/>
        <w:keepLines w:val="0"/>
        <w:pageBreakBefore w:val="0"/>
        <w:widowControl w:val="0"/>
        <w:numPr>
          <w:ilvl w:val="0"/>
          <w:numId w:val="18"/>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演练后需编制《连续性演练报告》，内容包括：</w:t>
      </w:r>
    </w:p>
    <w:p w14:paraId="67DE0FAB">
      <w:pPr>
        <w:pStyle w:val="29"/>
        <w:keepNext w:val="0"/>
        <w:keepLines w:val="0"/>
        <w:pageBreakBefore w:val="0"/>
        <w:widowControl w:val="0"/>
        <w:numPr>
          <w:ilvl w:val="0"/>
          <w:numId w:val="20"/>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演练过程和结果记录</w:t>
      </w:r>
    </w:p>
    <w:p w14:paraId="664573DD">
      <w:pPr>
        <w:pStyle w:val="29"/>
        <w:keepNext w:val="0"/>
        <w:keepLines w:val="0"/>
        <w:pageBreakBefore w:val="0"/>
        <w:widowControl w:val="0"/>
        <w:numPr>
          <w:ilvl w:val="0"/>
          <w:numId w:val="20"/>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发现的问题和改进建议</w:t>
      </w:r>
    </w:p>
    <w:p w14:paraId="6ADFAE71">
      <w:pPr>
        <w:pStyle w:val="29"/>
        <w:keepNext w:val="0"/>
        <w:keepLines w:val="0"/>
        <w:pageBreakBefore w:val="0"/>
        <w:widowControl w:val="0"/>
        <w:numPr>
          <w:ilvl w:val="0"/>
          <w:numId w:val="20"/>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计划修订需求</w:t>
      </w:r>
    </w:p>
    <w:p w14:paraId="49A3A744">
      <w:pPr>
        <w:pStyle w:val="29"/>
        <w:keepNext w:val="0"/>
        <w:keepLines w:val="0"/>
        <w:pageBreakBefore w:val="0"/>
        <w:widowControl w:val="0"/>
        <w:numPr>
          <w:ilvl w:val="0"/>
          <w:numId w:val="18"/>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演练结果应向管理层汇报，并获得改进措施的批准</w:t>
      </w:r>
    </w:p>
    <w:p w14:paraId="4DF7C759">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计划维护与更新</w:t>
      </w:r>
    </w:p>
    <w:p w14:paraId="456DFE37">
      <w:pPr>
        <w:pStyle w:val="29"/>
        <w:keepNext w:val="0"/>
        <w:keepLines w:val="0"/>
        <w:pageBreakBefore w:val="0"/>
        <w:widowControl w:val="0"/>
        <w:numPr>
          <w:ilvl w:val="0"/>
          <w:numId w:val="21"/>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在以下情况下必须对连续性计划进行评审和更新：</w:t>
      </w:r>
    </w:p>
    <w:p w14:paraId="1BA5ED01">
      <w:pPr>
        <w:pStyle w:val="29"/>
        <w:keepNext w:val="0"/>
        <w:keepLines w:val="0"/>
        <w:pageBreakBefore w:val="0"/>
        <w:widowControl w:val="0"/>
        <w:numPr>
          <w:ilvl w:val="0"/>
          <w:numId w:val="22"/>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业务环境发生重大变化</w:t>
      </w:r>
    </w:p>
    <w:p w14:paraId="7CB22240">
      <w:pPr>
        <w:pStyle w:val="29"/>
        <w:keepNext w:val="0"/>
        <w:keepLines w:val="0"/>
        <w:pageBreakBefore w:val="0"/>
        <w:widowControl w:val="0"/>
        <w:numPr>
          <w:ilvl w:val="0"/>
          <w:numId w:val="22"/>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组织结构或人员职责调整</w:t>
      </w:r>
    </w:p>
    <w:p w14:paraId="1F9B0331">
      <w:pPr>
        <w:pStyle w:val="29"/>
        <w:keepNext w:val="0"/>
        <w:keepLines w:val="0"/>
        <w:pageBreakBefore w:val="0"/>
        <w:widowControl w:val="0"/>
        <w:numPr>
          <w:ilvl w:val="0"/>
          <w:numId w:val="22"/>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技术架构或系统重大变更</w:t>
      </w:r>
    </w:p>
    <w:p w14:paraId="702F28F9">
      <w:pPr>
        <w:pStyle w:val="29"/>
        <w:keepNext w:val="0"/>
        <w:keepLines w:val="0"/>
        <w:pageBreakBefore w:val="0"/>
        <w:widowControl w:val="0"/>
        <w:numPr>
          <w:ilvl w:val="0"/>
          <w:numId w:val="22"/>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演练或实际事件中发现计划缺陷</w:t>
      </w:r>
    </w:p>
    <w:p w14:paraId="2CF3A40D">
      <w:pPr>
        <w:pStyle w:val="29"/>
        <w:keepNext w:val="0"/>
        <w:keepLines w:val="0"/>
        <w:pageBreakBefore w:val="0"/>
        <w:widowControl w:val="0"/>
        <w:numPr>
          <w:ilvl w:val="0"/>
          <w:numId w:val="22"/>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每年定期评审</w:t>
      </w:r>
    </w:p>
    <w:p w14:paraId="463075A1">
      <w:pPr>
        <w:pStyle w:val="29"/>
        <w:keepNext w:val="0"/>
        <w:keepLines w:val="0"/>
        <w:pageBreakBefore w:val="0"/>
        <w:widowControl w:val="0"/>
        <w:numPr>
          <w:ilvl w:val="0"/>
          <w:numId w:val="21"/>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建立计划变更的控制流程，确保所有修订都经过适当审批</w:t>
      </w:r>
    </w:p>
    <w:p w14:paraId="4687F240">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培训与意识培养</w:t>
      </w:r>
    </w:p>
    <w:p w14:paraId="5335856F">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定期培训</w:t>
      </w:r>
    </w:p>
    <w:p w14:paraId="044F1763">
      <w:pPr>
        <w:pStyle w:val="29"/>
        <w:keepNext w:val="0"/>
        <w:keepLines w:val="0"/>
        <w:pageBreakBefore w:val="0"/>
        <w:widowControl w:val="0"/>
        <w:numPr>
          <w:ilvl w:val="0"/>
          <w:numId w:val="2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每半年至少组织一次服务可用性与连续性管理培训</w:t>
      </w:r>
    </w:p>
    <w:p w14:paraId="673C45B0">
      <w:pPr>
        <w:pStyle w:val="29"/>
        <w:keepNext w:val="0"/>
        <w:keepLines w:val="0"/>
        <w:pageBreakBefore w:val="0"/>
        <w:widowControl w:val="0"/>
        <w:numPr>
          <w:ilvl w:val="0"/>
          <w:numId w:val="2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培训对象应覆盖所有相关岗位人员</w:t>
      </w:r>
    </w:p>
    <w:p w14:paraId="0155FB8F">
      <w:pPr>
        <w:pStyle w:val="29"/>
        <w:keepNext w:val="0"/>
        <w:keepLines w:val="0"/>
        <w:pageBreakBefore w:val="0"/>
        <w:widowControl w:val="0"/>
        <w:numPr>
          <w:ilvl w:val="0"/>
          <w:numId w:val="2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培训内容应包括：</w:t>
      </w:r>
    </w:p>
    <w:p w14:paraId="6E52126E">
      <w:pPr>
        <w:pStyle w:val="29"/>
        <w:keepNext w:val="0"/>
        <w:keepLines w:val="0"/>
        <w:pageBreakBefore w:val="0"/>
        <w:widowControl w:val="0"/>
        <w:numPr>
          <w:ilvl w:val="0"/>
          <w:numId w:val="24"/>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服务可用性与连续性的基本概念</w:t>
      </w:r>
    </w:p>
    <w:p w14:paraId="16D446A5">
      <w:pPr>
        <w:pStyle w:val="29"/>
        <w:keepNext w:val="0"/>
        <w:keepLines w:val="0"/>
        <w:pageBreakBefore w:val="0"/>
        <w:widowControl w:val="0"/>
        <w:numPr>
          <w:ilvl w:val="0"/>
          <w:numId w:val="24"/>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相关流程和操作规程</w:t>
      </w:r>
    </w:p>
    <w:p w14:paraId="12210CC6">
      <w:pPr>
        <w:pStyle w:val="29"/>
        <w:keepNext w:val="0"/>
        <w:keepLines w:val="0"/>
        <w:pageBreakBefore w:val="0"/>
        <w:widowControl w:val="0"/>
        <w:numPr>
          <w:ilvl w:val="0"/>
          <w:numId w:val="24"/>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应急预案和处置流程</w:t>
      </w:r>
    </w:p>
    <w:p w14:paraId="6417E5DC">
      <w:pPr>
        <w:pStyle w:val="29"/>
        <w:keepNext w:val="0"/>
        <w:keepLines w:val="0"/>
        <w:pageBreakBefore w:val="0"/>
        <w:widowControl w:val="0"/>
        <w:numPr>
          <w:ilvl w:val="0"/>
          <w:numId w:val="24"/>
        </w:numPr>
        <w:kinsoku w:val="0"/>
        <w:wordWrap/>
        <w:overflowPunct/>
        <w:autoSpaceDE w:val="0"/>
        <w:autoSpaceDN w:val="0"/>
        <w:bidi w:val="0"/>
        <w:adjustRightInd w:val="0"/>
        <w:snapToGrid w:val="0"/>
        <w:ind w:left="845" w:leftChars="0" w:hanging="425" w:firstLineChars="0"/>
        <w:textAlignment w:val="baseline"/>
        <w:rPr>
          <w:rFonts w:hint="default"/>
          <w:lang w:val="en-US" w:eastAsia="zh-CN"/>
        </w:rPr>
      </w:pPr>
      <w:r>
        <w:rPr>
          <w:rFonts w:hint="default"/>
          <w:lang w:val="en-US" w:eastAsia="zh-CN"/>
        </w:rPr>
        <w:t>案例分析和经验分享</w:t>
      </w:r>
    </w:p>
    <w:p w14:paraId="03806128">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意识培养</w:t>
      </w:r>
    </w:p>
    <w:p w14:paraId="03143E18">
      <w:pPr>
        <w:pStyle w:val="29"/>
        <w:keepNext w:val="0"/>
        <w:keepLines w:val="0"/>
        <w:pageBreakBefore w:val="0"/>
        <w:widowControl w:val="0"/>
        <w:kinsoku w:val="0"/>
        <w:wordWrap/>
        <w:overflowPunct/>
        <w:autoSpaceDE w:val="0"/>
        <w:autoSpaceDN w:val="0"/>
        <w:bidi w:val="0"/>
        <w:adjustRightInd w:val="0"/>
        <w:snapToGrid w:val="0"/>
        <w:ind w:firstLine="897" w:firstLineChars="374"/>
        <w:textAlignment w:val="baseline"/>
        <w:rPr>
          <w:rFonts w:hint="default"/>
          <w:lang w:val="en-US" w:eastAsia="zh-CN"/>
        </w:rPr>
      </w:pPr>
      <w:r>
        <w:rPr>
          <w:rFonts w:hint="default"/>
          <w:lang w:val="en-US" w:eastAsia="zh-CN"/>
        </w:rPr>
        <w:t>通过内部通讯、宣传栏等多种形式，提高全员的服务可用性与连续性意识</w:t>
      </w:r>
    </w:p>
    <w:p w14:paraId="18A8B077">
      <w:pPr>
        <w:pStyle w:val="29"/>
        <w:keepNext w:val="0"/>
        <w:keepLines w:val="0"/>
        <w:pageBreakBefore w:val="0"/>
        <w:widowControl w:val="0"/>
        <w:kinsoku w:val="0"/>
        <w:wordWrap/>
        <w:overflowPunct/>
        <w:autoSpaceDE w:val="0"/>
        <w:autoSpaceDN w:val="0"/>
        <w:bidi w:val="0"/>
        <w:adjustRightInd w:val="0"/>
        <w:snapToGrid w:val="0"/>
        <w:ind w:firstLine="897" w:firstLineChars="374"/>
        <w:textAlignment w:val="baseline"/>
        <w:rPr>
          <w:rFonts w:hint="default"/>
          <w:lang w:val="en-US" w:eastAsia="zh-CN"/>
        </w:rPr>
      </w:pPr>
      <w:r>
        <w:rPr>
          <w:rFonts w:hint="default"/>
          <w:lang w:val="en-US" w:eastAsia="zh-CN"/>
        </w:rPr>
        <w:t>定期组织经验交流活动，分享最佳实践和教训</w:t>
      </w:r>
    </w:p>
    <w:p w14:paraId="4A0B029E">
      <w:pPr>
        <w:pStyle w:val="29"/>
        <w:keepNext w:val="0"/>
        <w:keepLines w:val="0"/>
        <w:pageBreakBefore w:val="0"/>
        <w:widowControl w:val="0"/>
        <w:kinsoku w:val="0"/>
        <w:wordWrap/>
        <w:overflowPunct/>
        <w:autoSpaceDE w:val="0"/>
        <w:autoSpaceDN w:val="0"/>
        <w:bidi w:val="0"/>
        <w:adjustRightInd w:val="0"/>
        <w:snapToGrid w:val="0"/>
        <w:ind w:firstLine="897" w:firstLineChars="374"/>
        <w:textAlignment w:val="baseline"/>
        <w:rPr>
          <w:rFonts w:hint="default"/>
          <w:lang w:val="en-US" w:eastAsia="zh-CN"/>
        </w:rPr>
      </w:pPr>
      <w:r>
        <w:rPr>
          <w:rFonts w:hint="default"/>
          <w:lang w:val="en-US" w:eastAsia="zh-CN"/>
        </w:rPr>
        <w:t>将服务可用性与连续性要求纳入员工绩效考核</w:t>
      </w:r>
    </w:p>
    <w:p w14:paraId="4D104824">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关键控制点与测量指标</w:t>
      </w:r>
    </w:p>
    <w:p w14:paraId="5FEC6A37">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关键控制点</w:t>
      </w:r>
    </w:p>
    <w:p w14:paraId="638ECEE4">
      <w:pPr>
        <w:pStyle w:val="29"/>
        <w:keepNext w:val="0"/>
        <w:keepLines w:val="0"/>
        <w:pageBreakBefore w:val="0"/>
        <w:widowControl w:val="0"/>
        <w:numPr>
          <w:ilvl w:val="0"/>
          <w:numId w:val="2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所有关键业务服务必须建立明确的可用性目标，并定期监控和报告达成情况</w:t>
      </w:r>
    </w:p>
    <w:p w14:paraId="05402DAE">
      <w:pPr>
        <w:pStyle w:val="29"/>
        <w:keepNext w:val="0"/>
        <w:keepLines w:val="0"/>
        <w:pageBreakBefore w:val="0"/>
        <w:widowControl w:val="0"/>
        <w:numPr>
          <w:ilvl w:val="0"/>
          <w:numId w:val="2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业务影响分析（BIA）必须定期执行，结果需经相关业务部门确认</w:t>
      </w:r>
    </w:p>
    <w:p w14:paraId="523CC219">
      <w:pPr>
        <w:pStyle w:val="29"/>
        <w:keepNext w:val="0"/>
        <w:keepLines w:val="0"/>
        <w:pageBreakBefore w:val="0"/>
        <w:widowControl w:val="0"/>
        <w:numPr>
          <w:ilvl w:val="0"/>
          <w:numId w:val="2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服务连续性计划必须定期演练，演练结果必须用于计划的持续改进</w:t>
      </w:r>
    </w:p>
    <w:p w14:paraId="5966ABBC">
      <w:pPr>
        <w:pStyle w:val="29"/>
        <w:keepNext w:val="0"/>
        <w:keepLines w:val="0"/>
        <w:pageBreakBefore w:val="0"/>
        <w:widowControl w:val="0"/>
        <w:numPr>
          <w:ilvl w:val="0"/>
          <w:numId w:val="2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所有重大变更必须进行可用性与连续性影响评估</w:t>
      </w:r>
    </w:p>
    <w:p w14:paraId="2DD79854">
      <w:pPr>
        <w:pStyle w:val="29"/>
        <w:keepNext w:val="0"/>
        <w:keepLines w:val="0"/>
        <w:pageBreakBefore w:val="0"/>
        <w:widowControl w:val="0"/>
        <w:numPr>
          <w:ilvl w:val="0"/>
          <w:numId w:val="25"/>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连续性计划的维护更新必须建立规范的变更控制流程</w:t>
      </w:r>
    </w:p>
    <w:p w14:paraId="52499B99">
      <w:pPr>
        <w:pStyle w:val="31"/>
        <w:bidi w:val="0"/>
        <w:rPr>
          <w:rFonts w:hint="default"/>
          <w:lang w:val="en-US" w:eastAsia="zh-CN"/>
        </w:rPr>
      </w:pPr>
      <w:r>
        <w:rPr>
          <w:rFonts w:hint="default"/>
          <w:lang w:val="en-US" w:eastAsia="zh-CN"/>
        </w:rPr>
        <w:t>指标监控与改进</w:t>
      </w:r>
    </w:p>
    <w:p w14:paraId="443D6055">
      <w:pPr>
        <w:pStyle w:val="29"/>
        <w:keepNext w:val="0"/>
        <w:keepLines w:val="0"/>
        <w:pageBreakBefore w:val="0"/>
        <w:widowControl w:val="0"/>
        <w:numPr>
          <w:ilvl w:val="0"/>
          <w:numId w:val="2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每月对指标数据进行统计分析，识别趋势和异常</w:t>
      </w:r>
    </w:p>
    <w:p w14:paraId="4D76A0E7">
      <w:pPr>
        <w:pStyle w:val="29"/>
        <w:keepNext w:val="0"/>
        <w:keepLines w:val="0"/>
        <w:pageBreakBefore w:val="0"/>
        <w:widowControl w:val="0"/>
        <w:numPr>
          <w:ilvl w:val="0"/>
          <w:numId w:val="2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对未达标的指标进行根本原因分析，制定改进措施</w:t>
      </w:r>
    </w:p>
    <w:p w14:paraId="1552778E">
      <w:pPr>
        <w:pStyle w:val="29"/>
        <w:keepNext w:val="0"/>
        <w:keepLines w:val="0"/>
        <w:pageBreakBefore w:val="0"/>
        <w:widowControl w:val="0"/>
        <w:numPr>
          <w:ilvl w:val="0"/>
          <w:numId w:val="2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改进措施应明确责任人、时间表和预期效果</w:t>
      </w:r>
    </w:p>
    <w:p w14:paraId="25EA4965">
      <w:pPr>
        <w:pStyle w:val="29"/>
        <w:keepNext w:val="0"/>
        <w:keepLines w:val="0"/>
        <w:pageBreakBefore w:val="0"/>
        <w:widowControl w:val="0"/>
        <w:numPr>
          <w:ilvl w:val="0"/>
          <w:numId w:val="26"/>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定期向管理层报告指标达成情况和改进进展</w:t>
      </w:r>
    </w:p>
    <w:p w14:paraId="50B788F7">
      <w:pPr>
        <w:pStyle w:val="31"/>
        <w:bidi w:val="0"/>
        <w:rPr>
          <w:rFonts w:hint="default"/>
          <w:lang w:val="en-US" w:eastAsia="zh-CN"/>
        </w:rPr>
      </w:pPr>
      <w:r>
        <w:rPr>
          <w:rFonts w:hint="eastAsia"/>
          <w:lang w:val="en-US" w:eastAsia="zh-CN"/>
        </w:rPr>
        <w:t>过程测量指标</w:t>
      </w:r>
    </w:p>
    <w:p w14:paraId="76BEF858">
      <w:pPr>
        <w:pStyle w:val="29"/>
        <w:rPr>
          <w:rFonts w:hint="eastAsia"/>
          <w:lang w:val="en-US" w:eastAsia="zh-CN"/>
        </w:rPr>
      </w:pPr>
      <w:r>
        <w:rPr>
          <w:rFonts w:hint="eastAsia"/>
          <w:lang w:val="en-US" w:eastAsia="zh-CN"/>
        </w:rPr>
        <w:t>服务可用性和连续性</w:t>
      </w:r>
      <w:bookmarkStart w:id="16" w:name="_GoBack"/>
      <w:bookmarkEnd w:id="16"/>
      <w:r>
        <w:rPr>
          <w:rFonts w:hint="eastAsia"/>
          <w:lang w:val="en-US" w:eastAsia="zh-CN"/>
        </w:rPr>
        <w:t>测量指标如表4-1所示</w:t>
      </w:r>
    </w:p>
    <w:p w14:paraId="61DD356B">
      <w:pPr>
        <w:pStyle w:val="29"/>
        <w:ind w:left="0" w:leftChars="0" w:right="0" w:rightChars="0" w:firstLine="0" w:firstLineChars="0"/>
        <w:jc w:val="center"/>
        <w:rPr>
          <w:rFonts w:hint="eastAsia" w:eastAsia="宋体"/>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rPr>
        <w:t>过程测量指标</w:t>
      </w:r>
      <w:r>
        <w:rPr>
          <w:rFonts w:hint="eastAsia"/>
          <w:lang w:val="en-US" w:eastAsia="zh-CN"/>
        </w:rPr>
        <w:t>表</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1874"/>
        <w:gridCol w:w="3602"/>
        <w:gridCol w:w="1107"/>
        <w:gridCol w:w="1094"/>
      </w:tblGrid>
      <w:tr w14:paraId="0DF3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0F3BE43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1874" w:type="dxa"/>
          </w:tcPr>
          <w:p w14:paraId="28F79B2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602" w:type="dxa"/>
          </w:tcPr>
          <w:p w14:paraId="66256F9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313D7B5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7583A69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0F5B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13B0B5A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874" w:type="dxa"/>
          </w:tcPr>
          <w:p w14:paraId="1E841C6E">
            <w:pPr>
              <w:pStyle w:val="29"/>
              <w:widowControl w:val="0"/>
              <w:ind w:left="0" w:leftChars="0" w:firstLine="0" w:firstLineChars="0"/>
              <w:jc w:val="left"/>
              <w:rPr>
                <w:rFonts w:hint="default" w:eastAsia="宋体"/>
                <w:sz w:val="21"/>
                <w:szCs w:val="21"/>
                <w:vertAlign w:val="baseline"/>
                <w:lang w:val="en-US" w:eastAsia="zh-CN"/>
              </w:rPr>
            </w:pPr>
            <w:r>
              <w:rPr>
                <w:rFonts w:hint="eastAsia" w:ascii="Segoe UI" w:hAnsi="Segoe UI" w:eastAsia="Segoe UI" w:cs="Segoe UI"/>
                <w:i w:val="0"/>
                <w:iCs w:val="0"/>
                <w:caps w:val="0"/>
                <w:color w:val="0F1115"/>
                <w:spacing w:val="0"/>
                <w:sz w:val="19"/>
                <w:szCs w:val="19"/>
                <w:shd w:val="clear" w:fill="FFFFFF"/>
                <w:lang w:val="en-US" w:eastAsia="zh-CN"/>
              </w:rPr>
              <w:t>关键服务可用率</w:t>
            </w:r>
          </w:p>
        </w:tc>
        <w:tc>
          <w:tcPr>
            <w:tcW w:w="3602" w:type="dxa"/>
          </w:tcPr>
          <w:p w14:paraId="3F68233D">
            <w:pPr>
              <w:pStyle w:val="29"/>
              <w:widowControl w:val="0"/>
              <w:ind w:left="0" w:leftChars="0" w:firstLine="0" w:firstLineChars="0"/>
              <w:jc w:val="left"/>
              <w:rPr>
                <w:rFonts w:hint="default"/>
                <w:sz w:val="21"/>
                <w:szCs w:val="21"/>
                <w:vertAlign w:val="baseline"/>
                <w:lang w:val="en-US" w:eastAsia="zh-CN"/>
              </w:rPr>
            </w:pPr>
            <w:r>
              <w:rPr>
                <w:rFonts w:hint="eastAsia" w:ascii="Segoe UI" w:hAnsi="Segoe UI" w:eastAsia="Segoe UI" w:cs="Segoe UI"/>
                <w:i w:val="0"/>
                <w:iCs w:val="0"/>
                <w:caps w:val="0"/>
                <w:color w:val="0F1115"/>
                <w:spacing w:val="0"/>
                <w:sz w:val="19"/>
                <w:szCs w:val="19"/>
                <w:shd w:val="clear" w:fill="FFFFFF"/>
                <w:lang w:val="en-US" w:eastAsia="zh-CN"/>
              </w:rPr>
              <w:t>(服务约定运行时间 - 服务不可用时间) / 服务约定运行时间 × 100%</w:t>
            </w:r>
          </w:p>
        </w:tc>
        <w:tc>
          <w:tcPr>
            <w:tcW w:w="1107" w:type="dxa"/>
          </w:tcPr>
          <w:p w14:paraId="2FCE6EE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14:paraId="55CD9B7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ascii="微软雅黑" w:hAnsi="微软雅黑" w:eastAsia="微软雅黑" w:cs="微软雅黑"/>
                <w:sz w:val="21"/>
                <w:szCs w:val="21"/>
                <w:vertAlign w:val="baseline"/>
                <w:lang w:val="en-US" w:eastAsia="zh-CN"/>
              </w:rPr>
              <w:t>≥99%</w:t>
            </w:r>
          </w:p>
        </w:tc>
      </w:tr>
      <w:tr w14:paraId="31EA0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427AE86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2</w:t>
            </w:r>
          </w:p>
        </w:tc>
        <w:tc>
          <w:tcPr>
            <w:tcW w:w="1874" w:type="dxa"/>
          </w:tcPr>
          <w:p w14:paraId="6C3DA79E">
            <w:pPr>
              <w:pStyle w:val="29"/>
              <w:widowControl w:val="0"/>
              <w:ind w:left="0" w:leftChars="0" w:firstLine="0" w:firstLineChars="0"/>
              <w:jc w:val="left"/>
              <w:rPr>
                <w:rFonts w:hint="eastAsia" w:ascii="Segoe UI" w:hAnsi="Segoe UI" w:eastAsia="Segoe UI" w:cs="Segoe UI"/>
                <w:i w:val="0"/>
                <w:iCs w:val="0"/>
                <w:caps w:val="0"/>
                <w:color w:val="0F1115"/>
                <w:spacing w:val="0"/>
                <w:sz w:val="19"/>
                <w:szCs w:val="19"/>
                <w:shd w:val="clear" w:fill="FFFFFF"/>
                <w:lang w:val="en-US" w:eastAsia="zh-CN"/>
              </w:rPr>
            </w:pPr>
            <w:r>
              <w:rPr>
                <w:rFonts w:hint="eastAsia" w:ascii="Segoe UI" w:hAnsi="Segoe UI" w:eastAsia="Segoe UI" w:cs="Segoe UI"/>
                <w:i w:val="0"/>
                <w:iCs w:val="0"/>
                <w:caps w:val="0"/>
                <w:color w:val="0F1115"/>
                <w:spacing w:val="0"/>
                <w:sz w:val="19"/>
                <w:szCs w:val="19"/>
                <w:shd w:val="clear" w:fill="FFFFFF"/>
                <w:lang w:val="en-US" w:eastAsia="zh-CN"/>
              </w:rPr>
              <w:t>服务中断事件数量</w:t>
            </w:r>
          </w:p>
        </w:tc>
        <w:tc>
          <w:tcPr>
            <w:tcW w:w="3602" w:type="dxa"/>
          </w:tcPr>
          <w:p w14:paraId="367F4539">
            <w:pPr>
              <w:pStyle w:val="29"/>
              <w:widowControl w:val="0"/>
              <w:ind w:left="0" w:leftChars="0" w:firstLine="0" w:firstLineChars="0"/>
              <w:jc w:val="left"/>
              <w:rPr>
                <w:rFonts w:hint="eastAsia" w:ascii="Segoe UI" w:hAnsi="Segoe UI" w:eastAsia="Segoe UI" w:cs="Segoe UI"/>
                <w:i w:val="0"/>
                <w:iCs w:val="0"/>
                <w:caps w:val="0"/>
                <w:color w:val="0F1115"/>
                <w:spacing w:val="0"/>
                <w:sz w:val="19"/>
                <w:szCs w:val="19"/>
                <w:shd w:val="clear" w:fill="FFFFFF"/>
                <w:lang w:val="en-US" w:eastAsia="zh-CN"/>
              </w:rPr>
            </w:pPr>
            <w:r>
              <w:rPr>
                <w:rFonts w:ascii="Segoe UI" w:hAnsi="Segoe UI" w:eastAsia="Segoe UI" w:cs="Segoe UI"/>
                <w:i w:val="0"/>
                <w:iCs w:val="0"/>
                <w:caps w:val="0"/>
                <w:color w:val="0F1115"/>
                <w:spacing w:val="0"/>
                <w:sz w:val="18"/>
                <w:szCs w:val="18"/>
                <w:shd w:val="clear" w:fill="FFFFFF"/>
              </w:rPr>
              <w:t>统计期内导致服务不可用的事件发生次数</w:t>
            </w:r>
          </w:p>
        </w:tc>
        <w:tc>
          <w:tcPr>
            <w:tcW w:w="1107" w:type="dxa"/>
          </w:tcPr>
          <w:p w14:paraId="025059A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14:paraId="395179F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微软雅黑" w:hAnsi="微软雅黑" w:eastAsia="微软雅黑" w:cs="微软雅黑"/>
                <w:sz w:val="21"/>
                <w:szCs w:val="21"/>
                <w:vertAlign w:val="baseline"/>
                <w:lang w:val="en-US" w:eastAsia="zh-CN"/>
              </w:rPr>
            </w:pPr>
            <w:r>
              <w:rPr>
                <w:rFonts w:ascii="Segoe UI" w:hAnsi="Segoe UI" w:eastAsia="Segoe UI" w:cs="Segoe UI"/>
                <w:i w:val="0"/>
                <w:iCs w:val="0"/>
                <w:caps w:val="0"/>
                <w:color w:val="0F1115"/>
                <w:spacing w:val="0"/>
                <w:sz w:val="18"/>
                <w:szCs w:val="18"/>
                <w:shd w:val="clear" w:fill="FFFFFF"/>
              </w:rPr>
              <w:t>≤</w:t>
            </w:r>
            <w:r>
              <w:rPr>
                <w:rFonts w:hint="eastAsia" w:ascii="Segoe UI" w:hAnsi="Segoe UI" w:eastAsia="宋体" w:cs="Segoe UI"/>
                <w:i w:val="0"/>
                <w:iCs w:val="0"/>
                <w:caps w:val="0"/>
                <w:color w:val="0F1115"/>
                <w:spacing w:val="0"/>
                <w:sz w:val="18"/>
                <w:szCs w:val="18"/>
                <w:shd w:val="clear" w:fill="FFFFFF"/>
                <w:lang w:val="en-US" w:eastAsia="zh-CN"/>
              </w:rPr>
              <w:t>1</w:t>
            </w:r>
            <w:r>
              <w:rPr>
                <w:rFonts w:ascii="Segoe UI" w:hAnsi="Segoe UI" w:eastAsia="Segoe UI" w:cs="Segoe UI"/>
                <w:i w:val="0"/>
                <w:iCs w:val="0"/>
                <w:caps w:val="0"/>
                <w:color w:val="0F1115"/>
                <w:spacing w:val="0"/>
                <w:sz w:val="18"/>
                <w:szCs w:val="18"/>
                <w:shd w:val="clear" w:fill="FFFFFF"/>
              </w:rPr>
              <w:t>次</w:t>
            </w:r>
          </w:p>
        </w:tc>
      </w:tr>
    </w:tbl>
    <w:p w14:paraId="646CB7F1">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10" w:name="bookmark3"/>
      <w:bookmarkEnd w:id="10"/>
      <w:bookmarkStart w:id="11" w:name="_Toc17424"/>
      <w:bookmarkStart w:id="12" w:name="_Toc26732"/>
      <w:r>
        <w:rPr>
          <w:rStyle w:val="38"/>
          <w:rFonts w:hint="eastAsia" w:eastAsia="宋体"/>
          <w:lang w:val="en-US" w:eastAsia="zh-CN"/>
        </w:rPr>
        <w:t>附则</w:t>
      </w:r>
      <w:bookmarkEnd w:id="11"/>
      <w:bookmarkEnd w:id="12"/>
    </w:p>
    <w:p w14:paraId="282C941D">
      <w:pPr>
        <w:keepNext w:val="0"/>
        <w:keepLines w:val="0"/>
        <w:pageBreakBefore w:val="0"/>
        <w:widowControl w:val="0"/>
        <w:numPr>
          <w:ilvl w:val="0"/>
          <w:numId w:val="27"/>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人力</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55478B85">
      <w:pPr>
        <w:keepNext w:val="0"/>
        <w:keepLines w:val="0"/>
        <w:pageBreakBefore w:val="0"/>
        <w:widowControl w:val="0"/>
        <w:numPr>
          <w:ilvl w:val="0"/>
          <w:numId w:val="27"/>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9412FC6">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bookmark14"/>
      <w:bookmarkEnd w:id="13"/>
      <w:bookmarkStart w:id="14" w:name="_Toc3387"/>
      <w:r>
        <w:rPr>
          <w:rFonts w:hint="eastAsia"/>
          <w:lang w:val="en-US" w:eastAsia="zh-CN"/>
        </w:rPr>
        <w:t>附件</w:t>
      </w:r>
      <w:bookmarkEnd w:id="14"/>
    </w:p>
    <w:p w14:paraId="4863664D">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5" w:name="_Toc16438"/>
      <w:r>
        <w:rPr>
          <w:rFonts w:hint="eastAsia"/>
          <w:lang w:val="en-US" w:eastAsia="zh-CN"/>
        </w:rPr>
        <w:t>记录</w:t>
      </w:r>
      <w:bookmarkEnd w:id="15"/>
    </w:p>
    <w:p w14:paraId="05F117FD">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9F5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drawing>
        <wp:anchor distT="0" distB="0" distL="114300" distR="114300" simplePos="0" relativeHeight="251660288" behindDoc="0" locked="0" layoutInCell="1" allowOverlap="1">
          <wp:simplePos x="0" y="0"/>
          <wp:positionH relativeFrom="column">
            <wp:posOffset>67310</wp:posOffset>
          </wp:positionH>
          <wp:positionV relativeFrom="paragraph">
            <wp:posOffset>-345440</wp:posOffset>
          </wp:positionV>
          <wp:extent cx="718820" cy="461010"/>
          <wp:effectExtent l="0" t="0" r="12700" b="11430"/>
          <wp:wrapNone/>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
                  <a:stretch>
                    <a:fillRect/>
                  </a:stretch>
                </pic:blipFill>
                <pic:spPr>
                  <a:xfrm>
                    <a:off x="0" y="0"/>
                    <a:ext cx="718820" cy="461010"/>
                  </a:xfrm>
                  <a:prstGeom prst="rect">
                    <a:avLst/>
                  </a:prstGeom>
                </pic:spPr>
              </pic:pic>
            </a:graphicData>
          </a:graphic>
        </wp:anchor>
      </w:drawing>
    </w: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阿克苏智汇人才服务</w:t>
    </w:r>
    <w:r>
      <w:rPr>
        <w:rFonts w:hint="eastAsia" w:eastAsiaTheme="minorEastAsia"/>
        <w:lang w:eastAsia="zh-CN"/>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86BC0D"/>
    <w:multiLevelType w:val="singleLevel"/>
    <w:tmpl w:val="8886BC0D"/>
    <w:lvl w:ilvl="0" w:tentative="0">
      <w:start w:val="1"/>
      <w:numFmt w:val="decimal"/>
      <w:lvlText w:val="(%1)"/>
      <w:lvlJc w:val="left"/>
      <w:pPr>
        <w:tabs>
          <w:tab w:val="left" w:pos="420"/>
        </w:tabs>
        <w:ind w:left="84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8F775B85"/>
    <w:multiLevelType w:val="singleLevel"/>
    <w:tmpl w:val="8F775B85"/>
    <w:lvl w:ilvl="0" w:tentative="0">
      <w:start w:val="1"/>
      <w:numFmt w:val="decimal"/>
      <w:lvlText w:val="%1."/>
      <w:lvlJc w:val="left"/>
      <w:pPr>
        <w:ind w:left="425" w:hanging="425"/>
      </w:pPr>
      <w:rPr>
        <w:rFonts w:hint="default"/>
      </w:rPr>
    </w:lvl>
  </w:abstractNum>
  <w:abstractNum w:abstractNumId="3">
    <w:nsid w:val="9B893E50"/>
    <w:multiLevelType w:val="singleLevel"/>
    <w:tmpl w:val="9B893E50"/>
    <w:lvl w:ilvl="0" w:tentative="0">
      <w:start w:val="1"/>
      <w:numFmt w:val="decimal"/>
      <w:lvlText w:val="%1."/>
      <w:lvlJc w:val="left"/>
      <w:pPr>
        <w:ind w:left="425" w:hanging="425"/>
      </w:pPr>
      <w:rPr>
        <w:rFonts w:hint="default"/>
      </w:rPr>
    </w:lvl>
  </w:abstractNum>
  <w:abstractNum w:abstractNumId="4">
    <w:nsid w:val="9D3EBC90"/>
    <w:multiLevelType w:val="singleLevel"/>
    <w:tmpl w:val="9D3EBC90"/>
    <w:lvl w:ilvl="0" w:tentative="0">
      <w:start w:val="1"/>
      <w:numFmt w:val="decimal"/>
      <w:lvlText w:val="(%1)"/>
      <w:lvlJc w:val="left"/>
      <w:pPr>
        <w:tabs>
          <w:tab w:val="left" w:pos="420"/>
        </w:tabs>
        <w:ind w:left="845" w:hanging="425"/>
      </w:pPr>
      <w:rPr>
        <w:rFonts w:hint="default"/>
      </w:rPr>
    </w:lvl>
  </w:abstractNum>
  <w:abstractNum w:abstractNumId="5">
    <w:nsid w:val="A1F41FA0"/>
    <w:multiLevelType w:val="singleLevel"/>
    <w:tmpl w:val="A1F41FA0"/>
    <w:lvl w:ilvl="0" w:tentative="0">
      <w:start w:val="1"/>
      <w:numFmt w:val="decimal"/>
      <w:lvlText w:val="(%1)"/>
      <w:lvlJc w:val="left"/>
      <w:pPr>
        <w:tabs>
          <w:tab w:val="left" w:pos="420"/>
        </w:tabs>
        <w:ind w:left="845" w:hanging="425"/>
      </w:pPr>
      <w:rPr>
        <w:rFonts w:hint="default"/>
      </w:rPr>
    </w:lvl>
  </w:abstractNum>
  <w:abstractNum w:abstractNumId="6">
    <w:nsid w:val="A4765F0D"/>
    <w:multiLevelType w:val="singleLevel"/>
    <w:tmpl w:val="A4765F0D"/>
    <w:lvl w:ilvl="0" w:tentative="0">
      <w:start w:val="1"/>
      <w:numFmt w:val="decimal"/>
      <w:lvlText w:val="%1."/>
      <w:lvlJc w:val="left"/>
      <w:pPr>
        <w:ind w:left="425" w:hanging="425"/>
      </w:pPr>
      <w:rPr>
        <w:rFonts w:hint="default"/>
      </w:rPr>
    </w:lvl>
  </w:abstractNum>
  <w:abstractNum w:abstractNumId="7">
    <w:nsid w:val="A56C2F11"/>
    <w:multiLevelType w:val="singleLevel"/>
    <w:tmpl w:val="A56C2F11"/>
    <w:lvl w:ilvl="0" w:tentative="0">
      <w:start w:val="1"/>
      <w:numFmt w:val="decimal"/>
      <w:lvlText w:val="(%1)"/>
      <w:lvlJc w:val="left"/>
      <w:pPr>
        <w:tabs>
          <w:tab w:val="left" w:pos="420"/>
        </w:tabs>
        <w:ind w:left="845" w:hanging="425"/>
      </w:pPr>
      <w:rPr>
        <w:rFonts w:hint="default"/>
      </w:rPr>
    </w:lvl>
  </w:abstractNum>
  <w:abstractNum w:abstractNumId="8">
    <w:nsid w:val="A690AE1D"/>
    <w:multiLevelType w:val="singleLevel"/>
    <w:tmpl w:val="A690AE1D"/>
    <w:lvl w:ilvl="0" w:tentative="0">
      <w:start w:val="1"/>
      <w:numFmt w:val="decimal"/>
      <w:lvlText w:val="%1."/>
      <w:lvlJc w:val="left"/>
      <w:pPr>
        <w:ind w:left="425" w:hanging="425"/>
      </w:pPr>
      <w:rPr>
        <w:rFonts w:hint="default"/>
      </w:rPr>
    </w:lvl>
  </w:abstractNum>
  <w:abstractNum w:abstractNumId="9">
    <w:nsid w:val="A785F193"/>
    <w:multiLevelType w:val="singleLevel"/>
    <w:tmpl w:val="A785F193"/>
    <w:lvl w:ilvl="0" w:tentative="0">
      <w:start w:val="1"/>
      <w:numFmt w:val="decimal"/>
      <w:lvlText w:val="%1."/>
      <w:lvlJc w:val="left"/>
      <w:pPr>
        <w:ind w:left="425" w:hanging="425"/>
      </w:pPr>
      <w:rPr>
        <w:rFonts w:hint="default"/>
      </w:rPr>
    </w:lvl>
  </w:abstractNum>
  <w:abstractNum w:abstractNumId="10">
    <w:nsid w:val="B7060A27"/>
    <w:multiLevelType w:val="singleLevel"/>
    <w:tmpl w:val="B7060A27"/>
    <w:lvl w:ilvl="0" w:tentative="0">
      <w:start w:val="1"/>
      <w:numFmt w:val="decimal"/>
      <w:lvlText w:val="%1."/>
      <w:lvlJc w:val="left"/>
      <w:pPr>
        <w:ind w:left="425" w:hanging="425"/>
      </w:pPr>
      <w:rPr>
        <w:rFonts w:hint="default"/>
      </w:rPr>
    </w:lvl>
  </w:abstractNum>
  <w:abstractNum w:abstractNumId="11">
    <w:nsid w:val="BA054120"/>
    <w:multiLevelType w:val="singleLevel"/>
    <w:tmpl w:val="BA054120"/>
    <w:lvl w:ilvl="0" w:tentative="0">
      <w:start w:val="1"/>
      <w:numFmt w:val="decimal"/>
      <w:lvlText w:val="%1."/>
      <w:lvlJc w:val="left"/>
      <w:pPr>
        <w:ind w:left="425" w:hanging="425"/>
      </w:pPr>
      <w:rPr>
        <w:rFonts w:hint="default"/>
      </w:rPr>
    </w:lvl>
  </w:abstractNum>
  <w:abstractNum w:abstractNumId="12">
    <w:nsid w:val="C9BFB0F4"/>
    <w:multiLevelType w:val="singleLevel"/>
    <w:tmpl w:val="C9BFB0F4"/>
    <w:lvl w:ilvl="0" w:tentative="0">
      <w:start w:val="1"/>
      <w:numFmt w:val="decimal"/>
      <w:lvlText w:val="(%1)"/>
      <w:lvlJc w:val="left"/>
      <w:pPr>
        <w:ind w:left="425" w:hanging="425"/>
      </w:pPr>
      <w:rPr>
        <w:rFonts w:hint="default"/>
      </w:rPr>
    </w:lvl>
  </w:abstractNum>
  <w:abstractNum w:abstractNumId="13">
    <w:nsid w:val="CD5B835A"/>
    <w:multiLevelType w:val="singleLevel"/>
    <w:tmpl w:val="CD5B835A"/>
    <w:lvl w:ilvl="0" w:tentative="0">
      <w:start w:val="1"/>
      <w:numFmt w:val="decimal"/>
      <w:lvlText w:val="%1."/>
      <w:lvlJc w:val="left"/>
      <w:pPr>
        <w:ind w:left="425" w:hanging="425"/>
      </w:pPr>
      <w:rPr>
        <w:rFonts w:hint="default"/>
      </w:rPr>
    </w:lvl>
  </w:abstractNum>
  <w:abstractNum w:abstractNumId="14">
    <w:nsid w:val="D092D5FB"/>
    <w:multiLevelType w:val="singleLevel"/>
    <w:tmpl w:val="D092D5FB"/>
    <w:lvl w:ilvl="0" w:tentative="0">
      <w:start w:val="1"/>
      <w:numFmt w:val="decimal"/>
      <w:lvlText w:val="%1."/>
      <w:lvlJc w:val="left"/>
      <w:pPr>
        <w:ind w:left="425" w:hanging="425"/>
      </w:pPr>
      <w:rPr>
        <w:rFonts w:hint="default"/>
      </w:rPr>
    </w:lvl>
  </w:abstractNum>
  <w:abstractNum w:abstractNumId="15">
    <w:nsid w:val="E4D03AA4"/>
    <w:multiLevelType w:val="singleLevel"/>
    <w:tmpl w:val="E4D03AA4"/>
    <w:lvl w:ilvl="0" w:tentative="0">
      <w:start w:val="1"/>
      <w:numFmt w:val="decimal"/>
      <w:lvlText w:val="%1."/>
      <w:lvlJc w:val="left"/>
      <w:pPr>
        <w:ind w:left="425" w:hanging="425"/>
      </w:pPr>
      <w:rPr>
        <w:rFonts w:hint="default"/>
      </w:rPr>
    </w:lvl>
  </w:abstractNum>
  <w:abstractNum w:abstractNumId="16">
    <w:nsid w:val="F4663B23"/>
    <w:multiLevelType w:val="singleLevel"/>
    <w:tmpl w:val="F4663B23"/>
    <w:lvl w:ilvl="0" w:tentative="0">
      <w:start w:val="1"/>
      <w:numFmt w:val="decimal"/>
      <w:lvlText w:val="(%1)"/>
      <w:lvlJc w:val="left"/>
      <w:pPr>
        <w:tabs>
          <w:tab w:val="left" w:pos="420"/>
        </w:tabs>
        <w:ind w:left="845" w:hanging="425"/>
      </w:pPr>
      <w:rPr>
        <w:rFonts w:hint="default"/>
      </w:rPr>
    </w:lvl>
  </w:abstractNum>
  <w:abstractNum w:abstractNumId="17">
    <w:nsid w:val="F9539CF3"/>
    <w:multiLevelType w:val="singleLevel"/>
    <w:tmpl w:val="F9539CF3"/>
    <w:lvl w:ilvl="0" w:tentative="0">
      <w:start w:val="1"/>
      <w:numFmt w:val="decimal"/>
      <w:lvlText w:val="%1."/>
      <w:lvlJc w:val="left"/>
      <w:pPr>
        <w:ind w:left="425" w:hanging="425"/>
      </w:pPr>
      <w:rPr>
        <w:rFonts w:hint="default"/>
      </w:rPr>
    </w:lvl>
  </w:abstractNum>
  <w:abstractNum w:abstractNumId="18">
    <w:nsid w:val="051D2CC1"/>
    <w:multiLevelType w:val="singleLevel"/>
    <w:tmpl w:val="051D2CC1"/>
    <w:lvl w:ilvl="0" w:tentative="0">
      <w:start w:val="1"/>
      <w:numFmt w:val="decimal"/>
      <w:lvlText w:val="%1."/>
      <w:lvlJc w:val="left"/>
      <w:pPr>
        <w:ind w:left="425" w:hanging="425"/>
      </w:pPr>
      <w:rPr>
        <w:rFonts w:hint="default"/>
      </w:rPr>
    </w:lvl>
  </w:abstractNum>
  <w:abstractNum w:abstractNumId="19">
    <w:nsid w:val="236B5546"/>
    <w:multiLevelType w:val="singleLevel"/>
    <w:tmpl w:val="236B5546"/>
    <w:lvl w:ilvl="0" w:tentative="0">
      <w:start w:val="1"/>
      <w:numFmt w:val="decimal"/>
      <w:lvlText w:val="%1."/>
      <w:lvlJc w:val="left"/>
      <w:pPr>
        <w:ind w:left="425" w:hanging="425"/>
      </w:pPr>
      <w:rPr>
        <w:rFonts w:hint="default"/>
      </w:rPr>
    </w:lvl>
  </w:abstractNum>
  <w:abstractNum w:abstractNumId="20">
    <w:nsid w:val="454B5F9F"/>
    <w:multiLevelType w:val="singleLevel"/>
    <w:tmpl w:val="454B5F9F"/>
    <w:lvl w:ilvl="0" w:tentative="0">
      <w:start w:val="1"/>
      <w:numFmt w:val="decimal"/>
      <w:lvlText w:val="%1."/>
      <w:lvlJc w:val="left"/>
      <w:pPr>
        <w:ind w:left="425" w:hanging="425"/>
      </w:pPr>
      <w:rPr>
        <w:rFonts w:hint="default"/>
      </w:rPr>
    </w:lvl>
  </w:abstractNum>
  <w:abstractNum w:abstractNumId="21">
    <w:nsid w:val="58D3A087"/>
    <w:multiLevelType w:val="singleLevel"/>
    <w:tmpl w:val="58D3A087"/>
    <w:lvl w:ilvl="0" w:tentative="0">
      <w:start w:val="1"/>
      <w:numFmt w:val="decimal"/>
      <w:lvlText w:val="%1."/>
      <w:lvlJc w:val="left"/>
      <w:pPr>
        <w:ind w:left="425" w:hanging="425"/>
      </w:pPr>
      <w:rPr>
        <w:rFonts w:hint="default"/>
      </w:rPr>
    </w:lvl>
  </w:abstractNum>
  <w:abstractNum w:abstractNumId="22">
    <w:nsid w:val="5A262505"/>
    <w:multiLevelType w:val="singleLevel"/>
    <w:tmpl w:val="5A262505"/>
    <w:lvl w:ilvl="0" w:tentative="0">
      <w:start w:val="1"/>
      <w:numFmt w:val="decimal"/>
      <w:lvlText w:val="(%1)"/>
      <w:lvlJc w:val="left"/>
      <w:pPr>
        <w:tabs>
          <w:tab w:val="left" w:pos="420"/>
        </w:tabs>
        <w:ind w:left="845" w:hanging="425"/>
      </w:pPr>
      <w:rPr>
        <w:rFonts w:hint="default"/>
      </w:rPr>
    </w:lvl>
  </w:abstractNum>
  <w:abstractNum w:abstractNumId="23">
    <w:nsid w:val="5B3DEA92"/>
    <w:multiLevelType w:val="singleLevel"/>
    <w:tmpl w:val="5B3DEA92"/>
    <w:lvl w:ilvl="0" w:tentative="0">
      <w:start w:val="1"/>
      <w:numFmt w:val="decimal"/>
      <w:lvlText w:val="(%1)"/>
      <w:lvlJc w:val="left"/>
      <w:pPr>
        <w:tabs>
          <w:tab w:val="left" w:pos="420"/>
        </w:tabs>
        <w:ind w:left="845" w:hanging="425"/>
      </w:pPr>
      <w:rPr>
        <w:rFonts w:hint="default"/>
      </w:rPr>
    </w:lvl>
  </w:abstractNum>
  <w:abstractNum w:abstractNumId="24">
    <w:nsid w:val="5F5071D4"/>
    <w:multiLevelType w:val="singleLevel"/>
    <w:tmpl w:val="5F5071D4"/>
    <w:lvl w:ilvl="0" w:tentative="0">
      <w:start w:val="1"/>
      <w:numFmt w:val="decimal"/>
      <w:lvlText w:val="%1."/>
      <w:lvlJc w:val="left"/>
      <w:pPr>
        <w:ind w:left="425" w:hanging="425"/>
      </w:pPr>
      <w:rPr>
        <w:rFonts w:hint="default"/>
      </w:rPr>
    </w:lvl>
  </w:abstractNum>
  <w:abstractNum w:abstractNumId="25">
    <w:nsid w:val="70272A2B"/>
    <w:multiLevelType w:val="singleLevel"/>
    <w:tmpl w:val="70272A2B"/>
    <w:lvl w:ilvl="0" w:tentative="0">
      <w:start w:val="1"/>
      <w:numFmt w:val="decimal"/>
      <w:lvlText w:val="%1."/>
      <w:lvlJc w:val="left"/>
      <w:pPr>
        <w:ind w:left="425" w:hanging="425"/>
      </w:pPr>
      <w:rPr>
        <w:rFonts w:hint="default"/>
      </w:rPr>
    </w:lvl>
  </w:abstractNum>
  <w:abstractNum w:abstractNumId="26">
    <w:nsid w:val="7DFA36E5"/>
    <w:multiLevelType w:val="singleLevel"/>
    <w:tmpl w:val="7DFA36E5"/>
    <w:lvl w:ilvl="0" w:tentative="0">
      <w:start w:val="1"/>
      <w:numFmt w:val="decimal"/>
      <w:lvlText w:val="%1."/>
      <w:lvlJc w:val="left"/>
      <w:pPr>
        <w:ind w:left="425" w:hanging="425"/>
      </w:pPr>
      <w:rPr>
        <w:rFonts w:hint="default"/>
      </w:rPr>
    </w:lvl>
  </w:abstractNum>
  <w:num w:numId="1">
    <w:abstractNumId w:val="1"/>
  </w:num>
  <w:num w:numId="2">
    <w:abstractNumId w:val="8"/>
  </w:num>
  <w:num w:numId="3">
    <w:abstractNumId w:val="25"/>
  </w:num>
  <w:num w:numId="4">
    <w:abstractNumId w:val="6"/>
  </w:num>
  <w:num w:numId="5">
    <w:abstractNumId w:val="9"/>
  </w:num>
  <w:num w:numId="6">
    <w:abstractNumId w:val="2"/>
  </w:num>
  <w:num w:numId="7">
    <w:abstractNumId w:val="15"/>
  </w:num>
  <w:num w:numId="8">
    <w:abstractNumId w:val="10"/>
  </w:num>
  <w:num w:numId="9">
    <w:abstractNumId w:val="21"/>
  </w:num>
  <w:num w:numId="10">
    <w:abstractNumId w:val="24"/>
  </w:num>
  <w:num w:numId="11">
    <w:abstractNumId w:val="5"/>
  </w:num>
  <w:num w:numId="12">
    <w:abstractNumId w:val="11"/>
  </w:num>
  <w:num w:numId="13">
    <w:abstractNumId w:val="7"/>
  </w:num>
  <w:num w:numId="14">
    <w:abstractNumId w:val="18"/>
  </w:num>
  <w:num w:numId="15">
    <w:abstractNumId w:val="4"/>
  </w:num>
  <w:num w:numId="16">
    <w:abstractNumId w:val="26"/>
  </w:num>
  <w:num w:numId="17">
    <w:abstractNumId w:val="22"/>
  </w:num>
  <w:num w:numId="18">
    <w:abstractNumId w:val="19"/>
  </w:num>
  <w:num w:numId="19">
    <w:abstractNumId w:val="12"/>
  </w:num>
  <w:num w:numId="20">
    <w:abstractNumId w:val="23"/>
  </w:num>
  <w:num w:numId="21">
    <w:abstractNumId w:val="20"/>
  </w:num>
  <w:num w:numId="22">
    <w:abstractNumId w:val="16"/>
  </w:num>
  <w:num w:numId="23">
    <w:abstractNumId w:val="3"/>
  </w:num>
  <w:num w:numId="24">
    <w:abstractNumId w:val="0"/>
  </w:num>
  <w:num w:numId="25">
    <w:abstractNumId w:val="14"/>
  </w:num>
  <w:num w:numId="26">
    <w:abstractNumId w:val="13"/>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5574E"/>
    <w:rsid w:val="0056000D"/>
    <w:rsid w:val="0104303E"/>
    <w:rsid w:val="01E07299"/>
    <w:rsid w:val="0211124F"/>
    <w:rsid w:val="0227311A"/>
    <w:rsid w:val="02353A89"/>
    <w:rsid w:val="02443CCC"/>
    <w:rsid w:val="029C58B6"/>
    <w:rsid w:val="02CE3596"/>
    <w:rsid w:val="02EA4873"/>
    <w:rsid w:val="033E4BBF"/>
    <w:rsid w:val="040604A9"/>
    <w:rsid w:val="05980692"/>
    <w:rsid w:val="05E97064"/>
    <w:rsid w:val="06287461"/>
    <w:rsid w:val="073D05DE"/>
    <w:rsid w:val="07660A33"/>
    <w:rsid w:val="080D4B60"/>
    <w:rsid w:val="09975029"/>
    <w:rsid w:val="09D65B51"/>
    <w:rsid w:val="09F2400E"/>
    <w:rsid w:val="09FC6C3A"/>
    <w:rsid w:val="0A0A75A9"/>
    <w:rsid w:val="0AF142C5"/>
    <w:rsid w:val="0B2621C1"/>
    <w:rsid w:val="0C4024A9"/>
    <w:rsid w:val="0CF12BAD"/>
    <w:rsid w:val="0DF77E44"/>
    <w:rsid w:val="0F340C24"/>
    <w:rsid w:val="0F3E2A70"/>
    <w:rsid w:val="0F4F57A4"/>
    <w:rsid w:val="0FD115EF"/>
    <w:rsid w:val="103C5FE2"/>
    <w:rsid w:val="127C6B6A"/>
    <w:rsid w:val="130628D8"/>
    <w:rsid w:val="131B2827"/>
    <w:rsid w:val="136019F1"/>
    <w:rsid w:val="139879D4"/>
    <w:rsid w:val="13AA3D12"/>
    <w:rsid w:val="13D604FC"/>
    <w:rsid w:val="144813FA"/>
    <w:rsid w:val="148F527B"/>
    <w:rsid w:val="14B42767"/>
    <w:rsid w:val="15CC7E09"/>
    <w:rsid w:val="15EC2259"/>
    <w:rsid w:val="163360DA"/>
    <w:rsid w:val="16B0772A"/>
    <w:rsid w:val="16E6314C"/>
    <w:rsid w:val="170D06D9"/>
    <w:rsid w:val="17103D25"/>
    <w:rsid w:val="17285513"/>
    <w:rsid w:val="17710C68"/>
    <w:rsid w:val="17B80644"/>
    <w:rsid w:val="17BE19D3"/>
    <w:rsid w:val="17DF25E3"/>
    <w:rsid w:val="18846779"/>
    <w:rsid w:val="18F465E3"/>
    <w:rsid w:val="191A0E8B"/>
    <w:rsid w:val="19E020D4"/>
    <w:rsid w:val="1A2F0966"/>
    <w:rsid w:val="1A9923D9"/>
    <w:rsid w:val="1BC709D8"/>
    <w:rsid w:val="1BE614F8"/>
    <w:rsid w:val="1D152095"/>
    <w:rsid w:val="1D997E65"/>
    <w:rsid w:val="1DB418AE"/>
    <w:rsid w:val="1DE228BA"/>
    <w:rsid w:val="1E692834"/>
    <w:rsid w:val="1EFD1033"/>
    <w:rsid w:val="1F703EFB"/>
    <w:rsid w:val="1FCB1131"/>
    <w:rsid w:val="20D91840"/>
    <w:rsid w:val="215C6FE4"/>
    <w:rsid w:val="21843C8D"/>
    <w:rsid w:val="22031056"/>
    <w:rsid w:val="228A7081"/>
    <w:rsid w:val="2396146A"/>
    <w:rsid w:val="23A26E72"/>
    <w:rsid w:val="23DD436C"/>
    <w:rsid w:val="23FD59BD"/>
    <w:rsid w:val="264B6B28"/>
    <w:rsid w:val="26647BE9"/>
    <w:rsid w:val="26997893"/>
    <w:rsid w:val="26C427F2"/>
    <w:rsid w:val="27B4482F"/>
    <w:rsid w:val="286D0FD7"/>
    <w:rsid w:val="2908648D"/>
    <w:rsid w:val="294F2DD3"/>
    <w:rsid w:val="2975663E"/>
    <w:rsid w:val="2A8B6C6D"/>
    <w:rsid w:val="2B612949"/>
    <w:rsid w:val="2CAE1BBE"/>
    <w:rsid w:val="2CB859F8"/>
    <w:rsid w:val="2E2C5491"/>
    <w:rsid w:val="2E500F2E"/>
    <w:rsid w:val="2F041F69"/>
    <w:rsid w:val="2F62059B"/>
    <w:rsid w:val="2FC11C09"/>
    <w:rsid w:val="2FF03FEE"/>
    <w:rsid w:val="30CC6AB7"/>
    <w:rsid w:val="31331BEA"/>
    <w:rsid w:val="3175714F"/>
    <w:rsid w:val="31CC3212"/>
    <w:rsid w:val="333746BC"/>
    <w:rsid w:val="34341061"/>
    <w:rsid w:val="343D03F7"/>
    <w:rsid w:val="346C0F8D"/>
    <w:rsid w:val="34F463B5"/>
    <w:rsid w:val="350D601C"/>
    <w:rsid w:val="35DE67BA"/>
    <w:rsid w:val="36513CE6"/>
    <w:rsid w:val="36883480"/>
    <w:rsid w:val="36914A2B"/>
    <w:rsid w:val="3699743B"/>
    <w:rsid w:val="375F2433"/>
    <w:rsid w:val="37971BCD"/>
    <w:rsid w:val="37DF17C6"/>
    <w:rsid w:val="37E666B0"/>
    <w:rsid w:val="3914549F"/>
    <w:rsid w:val="3A6D4E67"/>
    <w:rsid w:val="3C265C15"/>
    <w:rsid w:val="3CEF4259"/>
    <w:rsid w:val="3D5F4115"/>
    <w:rsid w:val="3E287A22"/>
    <w:rsid w:val="3E5A3954"/>
    <w:rsid w:val="3F2D2E17"/>
    <w:rsid w:val="3FCE69FB"/>
    <w:rsid w:val="40414DCB"/>
    <w:rsid w:val="40646D0C"/>
    <w:rsid w:val="40873B7A"/>
    <w:rsid w:val="40B11D0C"/>
    <w:rsid w:val="41C9151C"/>
    <w:rsid w:val="41DA54D8"/>
    <w:rsid w:val="425D1C65"/>
    <w:rsid w:val="426164FC"/>
    <w:rsid w:val="42657D4F"/>
    <w:rsid w:val="43223C0F"/>
    <w:rsid w:val="4368266F"/>
    <w:rsid w:val="43996CCD"/>
    <w:rsid w:val="44A030AA"/>
    <w:rsid w:val="44E65F41"/>
    <w:rsid w:val="45EE5265"/>
    <w:rsid w:val="46BF2EEE"/>
    <w:rsid w:val="472B0583"/>
    <w:rsid w:val="47BB1907"/>
    <w:rsid w:val="484F2050"/>
    <w:rsid w:val="48FA020D"/>
    <w:rsid w:val="49B33C44"/>
    <w:rsid w:val="49CC1B61"/>
    <w:rsid w:val="4BDC1E4C"/>
    <w:rsid w:val="4BFB76A0"/>
    <w:rsid w:val="4D1711C1"/>
    <w:rsid w:val="4E0B149B"/>
    <w:rsid w:val="4F6F1974"/>
    <w:rsid w:val="503F29AA"/>
    <w:rsid w:val="50BE0A71"/>
    <w:rsid w:val="511C5981"/>
    <w:rsid w:val="51200A2D"/>
    <w:rsid w:val="51EE2D5C"/>
    <w:rsid w:val="51F0261E"/>
    <w:rsid w:val="536E33AD"/>
    <w:rsid w:val="540C5299"/>
    <w:rsid w:val="5486504B"/>
    <w:rsid w:val="54CB7E3C"/>
    <w:rsid w:val="54ED0C26"/>
    <w:rsid w:val="55D32512"/>
    <w:rsid w:val="561C2843"/>
    <w:rsid w:val="5632548A"/>
    <w:rsid w:val="56D54068"/>
    <w:rsid w:val="57923D07"/>
    <w:rsid w:val="58675193"/>
    <w:rsid w:val="587D49B7"/>
    <w:rsid w:val="5A6610C0"/>
    <w:rsid w:val="5B0B0058"/>
    <w:rsid w:val="5B85605C"/>
    <w:rsid w:val="5D0D6A04"/>
    <w:rsid w:val="5D2E6280"/>
    <w:rsid w:val="5D6677C8"/>
    <w:rsid w:val="5D92680F"/>
    <w:rsid w:val="5E6A32E8"/>
    <w:rsid w:val="5E791835"/>
    <w:rsid w:val="5EC450EE"/>
    <w:rsid w:val="5EFB71CC"/>
    <w:rsid w:val="5F13397F"/>
    <w:rsid w:val="5F7F1015"/>
    <w:rsid w:val="5FE80968"/>
    <w:rsid w:val="611F660B"/>
    <w:rsid w:val="613E7799"/>
    <w:rsid w:val="61952D71"/>
    <w:rsid w:val="61F950AE"/>
    <w:rsid w:val="6200643D"/>
    <w:rsid w:val="62312EF8"/>
    <w:rsid w:val="629D5E7E"/>
    <w:rsid w:val="63556314"/>
    <w:rsid w:val="635836CF"/>
    <w:rsid w:val="63CB4828"/>
    <w:rsid w:val="63F43D7F"/>
    <w:rsid w:val="640721AA"/>
    <w:rsid w:val="641743D1"/>
    <w:rsid w:val="64236413"/>
    <w:rsid w:val="652A5B5F"/>
    <w:rsid w:val="657F3B1C"/>
    <w:rsid w:val="659C092C"/>
    <w:rsid w:val="65C43C25"/>
    <w:rsid w:val="66ED0F5A"/>
    <w:rsid w:val="678C0773"/>
    <w:rsid w:val="68804644"/>
    <w:rsid w:val="69247D13"/>
    <w:rsid w:val="698F3ABF"/>
    <w:rsid w:val="69BB70ED"/>
    <w:rsid w:val="69DB53BE"/>
    <w:rsid w:val="6BAD2A66"/>
    <w:rsid w:val="6BF30DC0"/>
    <w:rsid w:val="6BFD39ED"/>
    <w:rsid w:val="6D834437"/>
    <w:rsid w:val="6DB46CBB"/>
    <w:rsid w:val="6E6623CD"/>
    <w:rsid w:val="6E753D0F"/>
    <w:rsid w:val="6F5E47A3"/>
    <w:rsid w:val="6F887A72"/>
    <w:rsid w:val="6FB24AEE"/>
    <w:rsid w:val="711772FF"/>
    <w:rsid w:val="713003C1"/>
    <w:rsid w:val="713A2FED"/>
    <w:rsid w:val="7141437C"/>
    <w:rsid w:val="73593BFF"/>
    <w:rsid w:val="73644352"/>
    <w:rsid w:val="73C7661F"/>
    <w:rsid w:val="76960176"/>
    <w:rsid w:val="76F6721A"/>
    <w:rsid w:val="771A5453"/>
    <w:rsid w:val="776C1A27"/>
    <w:rsid w:val="783E1615"/>
    <w:rsid w:val="7840713B"/>
    <w:rsid w:val="78CA2EA9"/>
    <w:rsid w:val="78D1021F"/>
    <w:rsid w:val="7A1940E8"/>
    <w:rsid w:val="7A2F7467"/>
    <w:rsid w:val="7A450B26"/>
    <w:rsid w:val="7B4E6013"/>
    <w:rsid w:val="7B5C70B9"/>
    <w:rsid w:val="7C066719"/>
    <w:rsid w:val="7C1508DF"/>
    <w:rsid w:val="7C434C07"/>
    <w:rsid w:val="7D0C7F34"/>
    <w:rsid w:val="7DA168CE"/>
    <w:rsid w:val="7DAD77BD"/>
    <w:rsid w:val="7DF905A7"/>
    <w:rsid w:val="7E086FD3"/>
    <w:rsid w:val="7EA54642"/>
    <w:rsid w:val="7F8244DD"/>
    <w:rsid w:val="7F9B10FB"/>
    <w:rsid w:val="7FAE0E2E"/>
    <w:rsid w:val="7FE77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231</Words>
  <Characters>305</Characters>
  <Lines>0</Lines>
  <Paragraphs>0</Paragraphs>
  <TotalTime>4</TotalTime>
  <ScaleCrop>false</ScaleCrop>
  <LinksUpToDate>false</LinksUpToDate>
  <CharactersWithSpaces>355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2025-10-21T21:14:11Z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