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容量管理制度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257F7B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为规范阿克苏智汇人才服务有限公司运维服务的容量管理，确保信息系统资源能够有效支撑业务发展需求，在保证服务性能的前提下优化资源利用率，控制成本，特制定本制度。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2459F9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本制度适用于公司运维部、研发部及所有参与信息系统规划、建设和运维的部门，管理范围涵盖所有支撑关键业务服务的计算、存储、网络等资源容量。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53FE50A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业务导向原则：容量管理必须以业务需求为出发点，确保资源满足业务发展需要</w:t>
      </w:r>
    </w:p>
    <w:p w14:paraId="55C6B92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预防为主原则：通过预测和规划，提前识别容量风险，避免资源瓶颈影响服务</w:t>
      </w:r>
    </w:p>
    <w:p w14:paraId="49C2D8C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成本效益原则：在保证服务质量的前提下，优化资源配置，提高资源利用率</w:t>
      </w:r>
    </w:p>
    <w:p w14:paraId="1771AC4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据驱动原则：基于性能数据和业务指标进行容量决策，确保决策的科学性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58294B2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</w:t>
      </w:r>
      <w:r>
        <w:rPr>
          <w:rFonts w:hint="eastAsia"/>
          <w:lang w:val="en-US" w:eastAsia="zh-CN"/>
        </w:rPr>
        <w:t>运维部经理</w:t>
      </w:r>
    </w:p>
    <w:p w14:paraId="6ADCB35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负责容量管理制度的制定、实施和监督</w:t>
      </w:r>
    </w:p>
    <w:p w14:paraId="373F034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组织容量规划评审，审批容量管理计划</w:t>
      </w:r>
    </w:p>
    <w:p w14:paraId="5410740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协调资源，确保容量管理措施有效执行</w:t>
      </w:r>
    </w:p>
    <w:p w14:paraId="04C0ADB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(2) </w:t>
      </w:r>
      <w:r>
        <w:rPr>
          <w:rFonts w:hint="eastAsia"/>
          <w:lang w:val="en-US" w:eastAsia="zh-CN"/>
        </w:rPr>
        <w:t>运维工程师</w:t>
      </w:r>
    </w:p>
    <w:p w14:paraId="21BC948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负责容量监控、数据收集和分析</w:t>
      </w:r>
    </w:p>
    <w:p w14:paraId="6E47FAD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编制容量报告，提出优化建议</w:t>
      </w:r>
    </w:p>
    <w:p w14:paraId="2F32952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维护容量管理数据库和模型</w:t>
      </w:r>
    </w:p>
    <w:p w14:paraId="30658B3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其他运维相关</w:t>
      </w:r>
      <w:r>
        <w:rPr>
          <w:rFonts w:hint="default"/>
          <w:lang w:val="en-US" w:eastAsia="zh-CN"/>
        </w:rPr>
        <w:t>部门</w:t>
      </w:r>
    </w:p>
    <w:p w14:paraId="76E8AC06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提供业务发展规划和容量需求</w:t>
      </w:r>
    </w:p>
    <w:p w14:paraId="29D52D3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配合进行业务影响分析</w:t>
      </w:r>
    </w:p>
    <w:p w14:paraId="382E7EAC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参与容量规划评审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4F3C11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 w14:paraId="0559EC76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655F5718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6C4E266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7B9472F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382E6A0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容量管理</w:t>
      </w:r>
    </w:p>
    <w:p w14:paraId="480D13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确保IT资源在合适的时间以合适的成本提供合适容量的过程</w:t>
      </w:r>
    </w:p>
    <w:p w14:paraId="1041228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业务容量管理</w:t>
      </w:r>
    </w:p>
    <w:p w14:paraId="546D49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关注业务量对系统资源需求的影响，建立业务量与资源使用的关系</w:t>
      </w:r>
    </w:p>
    <w:p w14:paraId="17A2DE4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服务容量管理</w:t>
      </w:r>
    </w:p>
    <w:p w14:paraId="7020AF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关注终端用户的服务体验，确保服务性能达到既定目标</w:t>
      </w:r>
    </w:p>
    <w:p w14:paraId="44B914F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资源容量管理</w:t>
      </w:r>
    </w:p>
    <w:p w14:paraId="520F3F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关注单个IT组件的性能和使用情况，如CPU、内存、存储等</w:t>
      </w:r>
    </w:p>
    <w:p w14:paraId="510C01C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容量基线</w:t>
      </w:r>
    </w:p>
    <w:p w14:paraId="5DB637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在特定时间点建立的系统性能和容量使用基准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76D226D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容量规划管理</w:t>
      </w:r>
    </w:p>
    <w:p w14:paraId="5171462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业务需求分析</w:t>
      </w:r>
    </w:p>
    <w:p w14:paraId="7C144101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每季度与业务部门沟通，收集业务发展计划和预测</w:t>
      </w:r>
    </w:p>
    <w:p w14:paraId="5405F235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分析历史业务数据，识别业务增长趋势和季节性特征</w:t>
      </w:r>
    </w:p>
    <w:p w14:paraId="0E2B5D14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将业务需求转化为技术资源需求，建立业务量与资源使用的关联模型</w:t>
      </w:r>
    </w:p>
    <w:p w14:paraId="7C0E1F7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容量预测</w:t>
      </w:r>
    </w:p>
    <w:p w14:paraId="73F3431D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基于业务预测和历史数据，预测未来资源需求</w:t>
      </w:r>
    </w:p>
    <w:p w14:paraId="3F5A6619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使用趋势分析、统计模型等方法提高预测准确性</w:t>
      </w:r>
    </w:p>
    <w:p w14:paraId="34EDF394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识别可能的容量瓶颈和风险点</w:t>
      </w:r>
    </w:p>
    <w:p w14:paraId="0A996F0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4.1.3 容量计划制定</w:t>
      </w:r>
    </w:p>
    <w:p w14:paraId="49E10760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编制年度容量计划，明确资源采购和扩容方案</w:t>
      </w:r>
    </w:p>
    <w:p w14:paraId="3B04E2FE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计划应包括实施时间表、资源需求和预算估算</w:t>
      </w:r>
    </w:p>
    <w:p w14:paraId="4DD31D3D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定期评审和更新容量计划，确保与业务发展同步</w:t>
      </w:r>
    </w:p>
    <w:p w14:paraId="5FF083D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容量监控管理</w:t>
      </w:r>
    </w:p>
    <w:p w14:paraId="3F0066E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监控指标体系</w:t>
      </w:r>
    </w:p>
    <w:p w14:paraId="01E349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建立完整的容量监控指标体系，包括：</w:t>
      </w:r>
    </w:p>
    <w:p w14:paraId="689C2A0C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计算资源：CPU使用率、内存使用率、虚拟机密度</w:t>
      </w:r>
    </w:p>
    <w:p w14:paraId="11E2B5F5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存储资源：存储空间使用率、IOPS、读写延迟</w:t>
      </w:r>
    </w:p>
    <w:p w14:paraId="5A14D76C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网络资源：带宽使用率、网络延迟、丢包率</w:t>
      </w:r>
    </w:p>
    <w:p w14:paraId="2B286712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应用性能：并发用户数、事务响应时间、吞吐量</w:t>
      </w:r>
    </w:p>
    <w:p w14:paraId="2A686E5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监控数据收集</w:t>
      </w:r>
    </w:p>
    <w:p w14:paraId="3FF480AC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实施7×24小时容量监控，数据采集频率不低于5分钟</w:t>
      </w:r>
    </w:p>
    <w:p w14:paraId="5804362D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确保监控数据的完整性和准确性</w:t>
      </w:r>
    </w:p>
    <w:p w14:paraId="79E5EAE3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监控数据保存期限不少于13个月</w:t>
      </w:r>
    </w:p>
    <w:p w14:paraId="787495E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阈值管理</w:t>
      </w:r>
    </w:p>
    <w:p w14:paraId="602D0FD6">
      <w:pPr>
        <w:pStyle w:val="29"/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设置多级预警阈值（警告、严重、紧急）</w:t>
      </w:r>
    </w:p>
    <w:p w14:paraId="06EFC7EE">
      <w:pPr>
        <w:pStyle w:val="29"/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定期评审和优化阈值设置</w:t>
      </w:r>
    </w:p>
    <w:p w14:paraId="4A06A7A6">
      <w:pPr>
        <w:pStyle w:val="29"/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建立阈值触发后的应急响应流程</w:t>
      </w:r>
    </w:p>
    <w:p w14:paraId="25DF0BC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容量分析管理</w:t>
      </w:r>
    </w:p>
    <w:p w14:paraId="141CA0E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性能数据分析</w:t>
      </w:r>
    </w:p>
    <w:p w14:paraId="18171C4F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每周分析关键性能指标，识别异常趋势</w:t>
      </w:r>
    </w:p>
    <w:p w14:paraId="6119CAFA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分析资源使用模式，优化资源配置</w:t>
      </w:r>
    </w:p>
    <w:p w14:paraId="7A2A9E7D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建立性能基线，及时发现性能偏离</w:t>
      </w:r>
    </w:p>
    <w:p w14:paraId="107194E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容量报告</w:t>
      </w:r>
    </w:p>
    <w:p w14:paraId="17D9469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每月编制容量管理报告，内容包括：</w:t>
      </w:r>
    </w:p>
    <w:p w14:paraId="7752B00D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资源使用情况和趋势分析</w:t>
      </w:r>
    </w:p>
    <w:p w14:paraId="6A07B009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容量预警和风险提示</w:t>
      </w:r>
    </w:p>
    <w:p w14:paraId="1D0D42DB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优化建议和实施效果</w:t>
      </w:r>
    </w:p>
    <w:p w14:paraId="2934377A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下阶段容量规划建议</w:t>
      </w:r>
    </w:p>
    <w:p w14:paraId="19E947C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容量优化</w:t>
      </w:r>
    </w:p>
    <w:p w14:paraId="1F498C48">
      <w:pPr>
        <w:pStyle w:val="29"/>
        <w:numPr>
          <w:ilvl w:val="0"/>
          <w:numId w:val="1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识别资源利用率过低或过高的系统</w:t>
      </w:r>
    </w:p>
    <w:p w14:paraId="4DF8846C">
      <w:pPr>
        <w:pStyle w:val="29"/>
        <w:numPr>
          <w:ilvl w:val="0"/>
          <w:numId w:val="1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提出资源调配或扩容建议</w:t>
      </w:r>
    </w:p>
    <w:p w14:paraId="6169F486">
      <w:pPr>
        <w:pStyle w:val="29"/>
        <w:numPr>
          <w:ilvl w:val="0"/>
          <w:numId w:val="1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实施资源优化措施，跟踪优化效果</w:t>
      </w:r>
    </w:p>
    <w:p w14:paraId="2A03081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容量变更管理</w:t>
      </w:r>
    </w:p>
    <w:p w14:paraId="67E0CEE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变更影响评估</w:t>
      </w:r>
    </w:p>
    <w:p w14:paraId="59A1B363">
      <w:pPr>
        <w:pStyle w:val="29"/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对所有可能影响容量的变更进行容量影响评估</w:t>
      </w:r>
    </w:p>
    <w:p w14:paraId="78ABD021">
      <w:pPr>
        <w:pStyle w:val="29"/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评估内容包括性能影响、资源需求等</w:t>
      </w:r>
    </w:p>
    <w:p w14:paraId="0B059036">
      <w:pPr>
        <w:pStyle w:val="29"/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根据评估结果制定相应的容量保障措施</w:t>
      </w:r>
    </w:p>
    <w:p w14:paraId="4B87965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扩容管理</w:t>
      </w:r>
    </w:p>
    <w:p w14:paraId="5492E689">
      <w:pPr>
        <w:pStyle w:val="29"/>
        <w:numPr>
          <w:ilvl w:val="0"/>
          <w:numId w:val="1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建立标准化的扩容流程</w:t>
      </w:r>
    </w:p>
    <w:p w14:paraId="48E2149A">
      <w:pPr>
        <w:pStyle w:val="29"/>
        <w:numPr>
          <w:ilvl w:val="0"/>
          <w:numId w:val="1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确保扩容过程不影响现有服务</w:t>
      </w:r>
    </w:p>
    <w:p w14:paraId="65DAF831">
      <w:pPr>
        <w:pStyle w:val="29"/>
        <w:numPr>
          <w:ilvl w:val="0"/>
          <w:numId w:val="1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扩容后验证容量提升效果</w:t>
      </w:r>
    </w:p>
    <w:p w14:paraId="1126BD1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关键控制点与测量指标</w:t>
      </w:r>
    </w:p>
    <w:p w14:paraId="24391A4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</w:t>
      </w:r>
    </w:p>
    <w:p w14:paraId="51E9703F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所有关键系统必须建立容量基线和监控机制</w:t>
      </w:r>
    </w:p>
    <w:p w14:paraId="264EF372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业务容量需求必须经过评审并纳入容量规划</w:t>
      </w:r>
    </w:p>
    <w:p w14:paraId="644CD1F6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容量预警必须及时处理并跟踪解决</w:t>
      </w:r>
    </w:p>
    <w:p w14:paraId="216E2623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所有容量变更必须经过影响评估和审批</w:t>
      </w:r>
    </w:p>
    <w:p w14:paraId="788E8896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容量报告必须定期提交并用于管理决策</w:t>
      </w:r>
    </w:p>
    <w:p w14:paraId="69DA022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</w:t>
      </w:r>
    </w:p>
    <w:p w14:paraId="682D178A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定期评审容量管理流程的有效性</w:t>
      </w:r>
    </w:p>
    <w:p w14:paraId="77B42C29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分析容量管理指标，识别改进机会</w:t>
      </w:r>
    </w:p>
    <w:p w14:paraId="707DE193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优化容量管理工具和方法</w:t>
      </w:r>
    </w:p>
    <w:p w14:paraId="3DE90261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分享容量管理最佳实践</w:t>
      </w:r>
    </w:p>
    <w:p w14:paraId="50B788F7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过程测量指标</w:t>
      </w:r>
    </w:p>
    <w:p w14:paraId="11F9AD4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容量测量指标如表4-1所示</w:t>
      </w:r>
    </w:p>
    <w:p w14:paraId="6306109D">
      <w:pPr>
        <w:pStyle w:val="29"/>
        <w:ind w:left="0" w:leftChars="0" w:right="0" w:righ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74"/>
        <w:gridCol w:w="3602"/>
        <w:gridCol w:w="1107"/>
        <w:gridCol w:w="1094"/>
      </w:tblGrid>
      <w:tr w14:paraId="0362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368A67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74" w:type="dxa"/>
          </w:tcPr>
          <w:p w14:paraId="0A4CA1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02" w:type="dxa"/>
          </w:tcPr>
          <w:p w14:paraId="602240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695917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A586D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65E8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2BF828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74" w:type="dxa"/>
          </w:tcPr>
          <w:p w14:paraId="4D63AE45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602" w:type="dxa"/>
          </w:tcPr>
          <w:p w14:paraId="401F720D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因容量不足导致的服务事件数量</w:t>
            </w:r>
          </w:p>
        </w:tc>
        <w:tc>
          <w:tcPr>
            <w:tcW w:w="1107" w:type="dxa"/>
          </w:tcPr>
          <w:p w14:paraId="7B326A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24FC56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≤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1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次</w:t>
            </w:r>
          </w:p>
        </w:tc>
      </w:tr>
    </w:tbl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17424"/>
      <w:bookmarkStart w:id="12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70739434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bookmarkStart w:id="16" w:name="_GoBack"/>
      <w:r>
        <w:rPr>
          <w:rFonts w:hint="default"/>
          <w:lang w:val="en-US" w:eastAsia="zh-CN"/>
        </w:rPr>
        <w:t>《容量监控指标清单》</w:t>
      </w:r>
    </w:p>
    <w:p w14:paraId="397644EE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《容量计划模板》</w:t>
      </w:r>
    </w:p>
    <w:p w14:paraId="2DF68BA7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《容量分析报告模板》</w:t>
      </w:r>
    </w:p>
    <w:bookmarkEnd w:id="16"/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5F117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容量管理过程中产生的所有记录，包括但不限于容量计划、监控数据、分析报告、评审记录等，应由运维部统一保存，保存期限不少于3年。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412BE2"/>
    <w:multiLevelType w:val="singleLevel"/>
    <w:tmpl w:val="98412B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9AA2555"/>
    <w:multiLevelType w:val="singleLevel"/>
    <w:tmpl w:val="99AA25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BEA6D05"/>
    <w:multiLevelType w:val="singleLevel"/>
    <w:tmpl w:val="9BEA6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70DE481"/>
    <w:multiLevelType w:val="singleLevel"/>
    <w:tmpl w:val="A70DE4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F159D14"/>
    <w:multiLevelType w:val="singleLevel"/>
    <w:tmpl w:val="AF159D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2250646"/>
    <w:multiLevelType w:val="singleLevel"/>
    <w:tmpl w:val="B22506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9A65FE5"/>
    <w:multiLevelType w:val="singleLevel"/>
    <w:tmpl w:val="C9A65F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9B4AE97"/>
    <w:multiLevelType w:val="singleLevel"/>
    <w:tmpl w:val="D9B4AE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8B3FEB"/>
    <w:multiLevelType w:val="singleLevel"/>
    <w:tmpl w:val="DA8B3F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CA21F5B"/>
    <w:multiLevelType w:val="singleLevel"/>
    <w:tmpl w:val="ECA21F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F60BCC1"/>
    <w:multiLevelType w:val="singleLevel"/>
    <w:tmpl w:val="1F60BC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36CBF864"/>
    <w:multiLevelType w:val="singleLevel"/>
    <w:tmpl w:val="36CBF8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71459D"/>
    <w:multiLevelType w:val="singleLevel"/>
    <w:tmpl w:val="437145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8463229"/>
    <w:multiLevelType w:val="singleLevel"/>
    <w:tmpl w:val="584632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1251AAA"/>
    <w:multiLevelType w:val="singleLevel"/>
    <w:tmpl w:val="61251A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CCEF58F"/>
    <w:multiLevelType w:val="singleLevel"/>
    <w:tmpl w:val="6CCEF5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94B4B5"/>
    <w:multiLevelType w:val="singleLevel"/>
    <w:tmpl w:val="6D94B4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F86BBDA"/>
    <w:multiLevelType w:val="singleLevel"/>
    <w:tmpl w:val="6F86BB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25501F4"/>
    <w:multiLevelType w:val="singleLevel"/>
    <w:tmpl w:val="725501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8"/>
  </w:num>
  <w:num w:numId="5">
    <w:abstractNumId w:val="2"/>
  </w:num>
  <w:num w:numId="6">
    <w:abstractNumId w:val="5"/>
  </w:num>
  <w:num w:numId="7">
    <w:abstractNumId w:val="15"/>
  </w:num>
  <w:num w:numId="8">
    <w:abstractNumId w:val="8"/>
  </w:num>
  <w:num w:numId="9">
    <w:abstractNumId w:val="17"/>
  </w:num>
  <w:num w:numId="10">
    <w:abstractNumId w:val="14"/>
  </w:num>
  <w:num w:numId="11">
    <w:abstractNumId w:val="12"/>
  </w:num>
  <w:num w:numId="12">
    <w:abstractNumId w:val="9"/>
  </w:num>
  <w:num w:numId="13">
    <w:abstractNumId w:val="7"/>
  </w:num>
  <w:num w:numId="14">
    <w:abstractNumId w:val="20"/>
  </w:num>
  <w:num w:numId="15">
    <w:abstractNumId w:val="1"/>
  </w:num>
  <w:num w:numId="16">
    <w:abstractNumId w:val="3"/>
  </w:num>
  <w:num w:numId="17">
    <w:abstractNumId w:val="13"/>
  </w:num>
  <w:num w:numId="18">
    <w:abstractNumId w:val="10"/>
  </w:num>
  <w:num w:numId="19">
    <w:abstractNumId w:val="19"/>
  </w:num>
  <w:num w:numId="20">
    <w:abstractNumId w:val="1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A2611C"/>
    <w:rsid w:val="00C603FA"/>
    <w:rsid w:val="0104303E"/>
    <w:rsid w:val="01E07299"/>
    <w:rsid w:val="0211124F"/>
    <w:rsid w:val="029C58B6"/>
    <w:rsid w:val="02BE3A7E"/>
    <w:rsid w:val="02CE3596"/>
    <w:rsid w:val="02EA4873"/>
    <w:rsid w:val="040604A9"/>
    <w:rsid w:val="05980692"/>
    <w:rsid w:val="06222576"/>
    <w:rsid w:val="06D80E87"/>
    <w:rsid w:val="073D05DE"/>
    <w:rsid w:val="07660A33"/>
    <w:rsid w:val="07D745E4"/>
    <w:rsid w:val="080D4B60"/>
    <w:rsid w:val="09975029"/>
    <w:rsid w:val="09D65B51"/>
    <w:rsid w:val="09F2400E"/>
    <w:rsid w:val="09FC6C3A"/>
    <w:rsid w:val="0C2801BA"/>
    <w:rsid w:val="0CA67794"/>
    <w:rsid w:val="0CF12BAD"/>
    <w:rsid w:val="0D9378B6"/>
    <w:rsid w:val="0D9631B3"/>
    <w:rsid w:val="0F4F57A4"/>
    <w:rsid w:val="0FD115EF"/>
    <w:rsid w:val="0FDF6DE2"/>
    <w:rsid w:val="113B44EC"/>
    <w:rsid w:val="127C6B6A"/>
    <w:rsid w:val="130628D8"/>
    <w:rsid w:val="131B2827"/>
    <w:rsid w:val="139879D4"/>
    <w:rsid w:val="13D604FC"/>
    <w:rsid w:val="142440E9"/>
    <w:rsid w:val="14382F65"/>
    <w:rsid w:val="14AB3737"/>
    <w:rsid w:val="14B42767"/>
    <w:rsid w:val="15CC7E09"/>
    <w:rsid w:val="15EC2259"/>
    <w:rsid w:val="166F4ABD"/>
    <w:rsid w:val="169E0DEA"/>
    <w:rsid w:val="16B0772A"/>
    <w:rsid w:val="170D06D9"/>
    <w:rsid w:val="17103D25"/>
    <w:rsid w:val="17642F63"/>
    <w:rsid w:val="17710C68"/>
    <w:rsid w:val="17BE19D3"/>
    <w:rsid w:val="17DF25E3"/>
    <w:rsid w:val="18846779"/>
    <w:rsid w:val="18F465E3"/>
    <w:rsid w:val="19E020D4"/>
    <w:rsid w:val="1A670100"/>
    <w:rsid w:val="1A8D59CC"/>
    <w:rsid w:val="1A9923D9"/>
    <w:rsid w:val="1B177D78"/>
    <w:rsid w:val="1BC709D8"/>
    <w:rsid w:val="1C0C5A40"/>
    <w:rsid w:val="1D997E65"/>
    <w:rsid w:val="1E692834"/>
    <w:rsid w:val="1EFD1033"/>
    <w:rsid w:val="1FA025B1"/>
    <w:rsid w:val="1FCB1131"/>
    <w:rsid w:val="20D91840"/>
    <w:rsid w:val="212A1E87"/>
    <w:rsid w:val="215C6FE4"/>
    <w:rsid w:val="231704B9"/>
    <w:rsid w:val="23A26E72"/>
    <w:rsid w:val="23DD436C"/>
    <w:rsid w:val="23FD59BD"/>
    <w:rsid w:val="24C7228B"/>
    <w:rsid w:val="25B032A3"/>
    <w:rsid w:val="25C94365"/>
    <w:rsid w:val="26C427F2"/>
    <w:rsid w:val="287C746C"/>
    <w:rsid w:val="2908648D"/>
    <w:rsid w:val="294F2DD3"/>
    <w:rsid w:val="2975663E"/>
    <w:rsid w:val="2A8B6C6D"/>
    <w:rsid w:val="2B612949"/>
    <w:rsid w:val="2E500F2E"/>
    <w:rsid w:val="2F041F69"/>
    <w:rsid w:val="2F492FE5"/>
    <w:rsid w:val="2FC11C09"/>
    <w:rsid w:val="30817E06"/>
    <w:rsid w:val="333746BC"/>
    <w:rsid w:val="346C0F8D"/>
    <w:rsid w:val="350D601C"/>
    <w:rsid w:val="35DE67BA"/>
    <w:rsid w:val="36883480"/>
    <w:rsid w:val="36914A2B"/>
    <w:rsid w:val="3699743B"/>
    <w:rsid w:val="375D07A8"/>
    <w:rsid w:val="375F2433"/>
    <w:rsid w:val="37971BCD"/>
    <w:rsid w:val="37C64260"/>
    <w:rsid w:val="37DF17C6"/>
    <w:rsid w:val="37E666B0"/>
    <w:rsid w:val="3914549F"/>
    <w:rsid w:val="399A1E48"/>
    <w:rsid w:val="3BDD6FAF"/>
    <w:rsid w:val="3C265C15"/>
    <w:rsid w:val="3C4D31A2"/>
    <w:rsid w:val="3D5F4115"/>
    <w:rsid w:val="3E287A22"/>
    <w:rsid w:val="3E5A3954"/>
    <w:rsid w:val="3F2D2E17"/>
    <w:rsid w:val="3F8E13F7"/>
    <w:rsid w:val="40646D0C"/>
    <w:rsid w:val="40873B7A"/>
    <w:rsid w:val="40B11D0C"/>
    <w:rsid w:val="415630A6"/>
    <w:rsid w:val="41DA54D8"/>
    <w:rsid w:val="426164FC"/>
    <w:rsid w:val="43223C0F"/>
    <w:rsid w:val="4368266F"/>
    <w:rsid w:val="43996CCD"/>
    <w:rsid w:val="45EE5265"/>
    <w:rsid w:val="469F0A9E"/>
    <w:rsid w:val="46BF2EEE"/>
    <w:rsid w:val="46F72688"/>
    <w:rsid w:val="472B0583"/>
    <w:rsid w:val="47BB1907"/>
    <w:rsid w:val="484F2050"/>
    <w:rsid w:val="48F60788"/>
    <w:rsid w:val="48FA020D"/>
    <w:rsid w:val="49B33C44"/>
    <w:rsid w:val="49CC1B61"/>
    <w:rsid w:val="4BFB76A0"/>
    <w:rsid w:val="4D1711C1"/>
    <w:rsid w:val="4E0B149B"/>
    <w:rsid w:val="4F6F1974"/>
    <w:rsid w:val="503F29AA"/>
    <w:rsid w:val="50BE0A71"/>
    <w:rsid w:val="511C5981"/>
    <w:rsid w:val="51B82A14"/>
    <w:rsid w:val="51F0261E"/>
    <w:rsid w:val="522C2D32"/>
    <w:rsid w:val="5486504B"/>
    <w:rsid w:val="54CB7E3C"/>
    <w:rsid w:val="5632548A"/>
    <w:rsid w:val="56DA342C"/>
    <w:rsid w:val="58675193"/>
    <w:rsid w:val="588A4EF4"/>
    <w:rsid w:val="5A6610C0"/>
    <w:rsid w:val="5B0B0058"/>
    <w:rsid w:val="5B85605C"/>
    <w:rsid w:val="5BFE6C8F"/>
    <w:rsid w:val="5D0D6A04"/>
    <w:rsid w:val="5D2E6280"/>
    <w:rsid w:val="5D6677C8"/>
    <w:rsid w:val="5E6A32E8"/>
    <w:rsid w:val="5EFB71CC"/>
    <w:rsid w:val="5F7F1015"/>
    <w:rsid w:val="606A75CF"/>
    <w:rsid w:val="613E7799"/>
    <w:rsid w:val="61F41846"/>
    <w:rsid w:val="6200643D"/>
    <w:rsid w:val="62312EF8"/>
    <w:rsid w:val="640721AA"/>
    <w:rsid w:val="652A5B5F"/>
    <w:rsid w:val="657F3B1C"/>
    <w:rsid w:val="659C092C"/>
    <w:rsid w:val="65C43C25"/>
    <w:rsid w:val="66C41C5D"/>
    <w:rsid w:val="673A086D"/>
    <w:rsid w:val="67630CEF"/>
    <w:rsid w:val="678C0773"/>
    <w:rsid w:val="68804644"/>
    <w:rsid w:val="698F3ABF"/>
    <w:rsid w:val="69937B96"/>
    <w:rsid w:val="69B20869"/>
    <w:rsid w:val="69DB53BE"/>
    <w:rsid w:val="6B2A0087"/>
    <w:rsid w:val="6BAD2A66"/>
    <w:rsid w:val="6BF30DC0"/>
    <w:rsid w:val="6D834437"/>
    <w:rsid w:val="6D965EA7"/>
    <w:rsid w:val="6DB46CBB"/>
    <w:rsid w:val="6DDD5884"/>
    <w:rsid w:val="6E2A2FAA"/>
    <w:rsid w:val="6E6623CD"/>
    <w:rsid w:val="6ED56589"/>
    <w:rsid w:val="6EE724FF"/>
    <w:rsid w:val="6F887A72"/>
    <w:rsid w:val="711772FF"/>
    <w:rsid w:val="713003C1"/>
    <w:rsid w:val="71346C20"/>
    <w:rsid w:val="7141437C"/>
    <w:rsid w:val="73593BFF"/>
    <w:rsid w:val="73644352"/>
    <w:rsid w:val="73C7661F"/>
    <w:rsid w:val="74100036"/>
    <w:rsid w:val="76960176"/>
    <w:rsid w:val="76F6721A"/>
    <w:rsid w:val="776C1A27"/>
    <w:rsid w:val="783267CC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</Words>
  <Characters>305</Characters>
  <Lines>0</Lines>
  <Paragraphs>0</Paragraphs>
  <TotalTime>0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2025-10-21T21:40:46Z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