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60"/>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7520"/>
      <w:r>
        <w:rPr>
          <w:rFonts w:hint="eastAsia"/>
          <w:lang w:val="en-US" w:eastAsia="zh-CN"/>
        </w:rPr>
        <w:t>信息安全管理制度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w:t>
      </w:r>
      <w:r>
        <w:rPr>
          <w:rFonts w:ascii="宋体" w:hAnsi="宋体" w:eastAsia="宋体" w:cs="宋体"/>
          <w:b/>
          <w:bCs/>
          <w:spacing w:val="-3"/>
          <w:sz w:val="24"/>
          <w:szCs w:val="24"/>
        </w:rPr>
        <w:t>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BEBB57">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_Toc260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_Toc260 \h </w:instrText>
          </w:r>
          <w:r>
            <w:fldChar w:fldCharType="separate"/>
          </w:r>
          <w:r>
            <w:t>1</w:t>
          </w:r>
          <w:r>
            <w:fldChar w:fldCharType="end"/>
          </w:r>
          <w:r>
            <w:rPr>
              <w:rFonts w:hint="eastAsia" w:ascii="宋体" w:hAnsi="宋体" w:eastAsia="宋体" w:cs="宋体"/>
              <w:szCs w:val="24"/>
            </w:rPr>
            <w:fldChar w:fldCharType="end"/>
          </w:r>
        </w:p>
        <w:p w14:paraId="4CE182B2">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_Toc27520 </w:instrText>
          </w:r>
          <w:r>
            <w:rPr>
              <w:rFonts w:hint="eastAsia" w:ascii="宋体" w:hAnsi="宋体" w:eastAsia="宋体" w:cs="宋体"/>
              <w:szCs w:val="24"/>
            </w:rPr>
            <w:fldChar w:fldCharType="separate"/>
          </w:r>
          <w:r>
            <w:rPr>
              <w:rFonts w:hint="eastAsia"/>
              <w:lang w:val="en-US" w:eastAsia="zh-CN"/>
            </w:rPr>
            <w:t>人员工作交接管理制度</w:t>
          </w:r>
          <w:r>
            <w:tab/>
          </w:r>
          <w:r>
            <w:fldChar w:fldCharType="begin"/>
          </w:r>
          <w:r>
            <w:instrText xml:space="preserve"> PAGEREF _Toc27520 \h </w:instrText>
          </w:r>
          <w:r>
            <w:fldChar w:fldCharType="separate"/>
          </w:r>
          <w:r>
            <w:t>1</w:t>
          </w:r>
          <w:r>
            <w:fldChar w:fldCharType="end"/>
          </w:r>
          <w:r>
            <w:rPr>
              <w:rFonts w:hint="eastAsia" w:ascii="宋体" w:hAnsi="宋体" w:eastAsia="宋体" w:cs="宋体"/>
              <w:szCs w:val="24"/>
            </w:rPr>
            <w:fldChar w:fldCharType="end"/>
          </w:r>
        </w:p>
        <w:p w14:paraId="782C915D">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_Toc1824 \h </w:instrText>
          </w:r>
          <w:r>
            <w:fldChar w:fldCharType="separate"/>
          </w:r>
          <w:r>
            <w:t>4</w:t>
          </w:r>
          <w:r>
            <w:fldChar w:fldCharType="end"/>
          </w:r>
          <w:r>
            <w:rPr>
              <w:rFonts w:hint="eastAsia" w:ascii="宋体" w:hAnsi="宋体" w:eastAsia="宋体" w:cs="宋体"/>
              <w:szCs w:val="24"/>
            </w:rPr>
            <w:fldChar w:fldCharType="end"/>
          </w:r>
        </w:p>
        <w:p w14:paraId="379FBFB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_Toc13369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_Toc13369 \h </w:instrText>
          </w:r>
          <w:r>
            <w:fldChar w:fldCharType="separate"/>
          </w:r>
          <w:r>
            <w:t>4</w:t>
          </w:r>
          <w:r>
            <w:fldChar w:fldCharType="end"/>
          </w:r>
          <w:r>
            <w:rPr>
              <w:rFonts w:hint="eastAsia" w:ascii="宋体" w:hAnsi="宋体" w:eastAsia="宋体" w:cs="宋体"/>
              <w:szCs w:val="24"/>
            </w:rPr>
            <w:fldChar w:fldCharType="end"/>
          </w:r>
        </w:p>
        <w:p w14:paraId="03BA500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_Toc14707 \h </w:instrText>
          </w:r>
          <w:r>
            <w:fldChar w:fldCharType="separate"/>
          </w:r>
          <w:r>
            <w:t>4</w:t>
          </w:r>
          <w:r>
            <w:fldChar w:fldCharType="end"/>
          </w:r>
          <w:r>
            <w:rPr>
              <w:rFonts w:hint="eastAsia" w:ascii="宋体" w:hAnsi="宋体" w:eastAsia="宋体" w:cs="宋体"/>
              <w:szCs w:val="24"/>
            </w:rPr>
            <w:fldChar w:fldCharType="end"/>
          </w:r>
        </w:p>
        <w:p w14:paraId="22E4BBA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_Toc7905 \h </w:instrText>
          </w:r>
          <w:r>
            <w:fldChar w:fldCharType="separate"/>
          </w:r>
          <w:r>
            <w:t>4</w:t>
          </w:r>
          <w:r>
            <w:fldChar w:fldCharType="end"/>
          </w:r>
          <w:r>
            <w:rPr>
              <w:rFonts w:hint="eastAsia" w:ascii="宋体" w:hAnsi="宋体" w:eastAsia="宋体" w:cs="宋体"/>
              <w:szCs w:val="24"/>
            </w:rPr>
            <w:fldChar w:fldCharType="end"/>
          </w:r>
        </w:p>
        <w:p w14:paraId="262DE691">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_Toc32565 \h </w:instrText>
          </w:r>
          <w:r>
            <w:fldChar w:fldCharType="separate"/>
          </w:r>
          <w:r>
            <w:t>4</w:t>
          </w:r>
          <w:r>
            <w:fldChar w:fldCharType="end"/>
          </w:r>
          <w:r>
            <w:rPr>
              <w:rFonts w:hint="eastAsia" w:ascii="宋体" w:hAnsi="宋体" w:eastAsia="宋体" w:cs="宋体"/>
              <w:szCs w:val="24"/>
            </w:rPr>
            <w:fldChar w:fldCharType="end"/>
          </w:r>
        </w:p>
        <w:p w14:paraId="587E0AE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_Toc7310 \h </w:instrText>
          </w:r>
          <w:r>
            <w:fldChar w:fldCharType="separate"/>
          </w:r>
          <w:r>
            <w:t>4</w:t>
          </w:r>
          <w:r>
            <w:fldChar w:fldCharType="end"/>
          </w:r>
          <w:r>
            <w:rPr>
              <w:rFonts w:hint="eastAsia" w:ascii="宋体" w:hAnsi="宋体" w:eastAsia="宋体" w:cs="宋体"/>
              <w:szCs w:val="24"/>
            </w:rPr>
            <w:fldChar w:fldCharType="end"/>
          </w:r>
        </w:p>
        <w:p w14:paraId="4ADE403E">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_Toc30963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_Toc30963 \h </w:instrText>
          </w:r>
          <w:r>
            <w:fldChar w:fldCharType="separate"/>
          </w:r>
          <w:r>
            <w:t>4</w:t>
          </w:r>
          <w:r>
            <w:fldChar w:fldCharType="end"/>
          </w:r>
          <w:r>
            <w:rPr>
              <w:rFonts w:hint="eastAsia" w:ascii="宋体" w:hAnsi="宋体" w:eastAsia="宋体" w:cs="宋体"/>
              <w:szCs w:val="24"/>
            </w:rPr>
            <w:fldChar w:fldCharType="end"/>
          </w:r>
        </w:p>
        <w:p w14:paraId="406B10D3">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_Toc14370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_Toc14370 \h </w:instrText>
          </w:r>
          <w:r>
            <w:fldChar w:fldCharType="separate"/>
          </w:r>
          <w:r>
            <w:t>4</w:t>
          </w:r>
          <w:r>
            <w:fldChar w:fldCharType="end"/>
          </w:r>
          <w:r>
            <w:rPr>
              <w:rFonts w:hint="eastAsia" w:ascii="宋体" w:hAnsi="宋体" w:eastAsia="宋体" w:cs="宋体"/>
              <w:szCs w:val="24"/>
            </w:rPr>
            <w:fldChar w:fldCharType="end"/>
          </w:r>
        </w:p>
        <w:p w14:paraId="6559700C">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_Toc26732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_Toc26732 \h </w:instrText>
          </w:r>
          <w:r>
            <w:fldChar w:fldCharType="separate"/>
          </w:r>
          <w:r>
            <w:t>4</w:t>
          </w:r>
          <w:r>
            <w:fldChar w:fldCharType="end"/>
          </w:r>
          <w:r>
            <w:rPr>
              <w:rFonts w:hint="eastAsia" w:ascii="宋体" w:hAnsi="宋体" w:eastAsia="宋体" w:cs="宋体"/>
              <w:szCs w:val="24"/>
            </w:rPr>
            <w:fldChar w:fldCharType="end"/>
          </w:r>
        </w:p>
        <w:p w14:paraId="78EBAF05">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_Toc3387 \h </w:instrText>
          </w:r>
          <w:r>
            <w:fldChar w:fldCharType="separate"/>
          </w:r>
          <w:r>
            <w:t>4</w:t>
          </w:r>
          <w:r>
            <w:fldChar w:fldCharType="end"/>
          </w:r>
          <w:r>
            <w:rPr>
              <w:rFonts w:hint="eastAsia" w:ascii="宋体" w:hAnsi="宋体" w:eastAsia="宋体" w:cs="宋体"/>
              <w:szCs w:val="24"/>
            </w:rPr>
            <w:fldChar w:fldCharType="end"/>
          </w:r>
        </w:p>
        <w:p w14:paraId="6AD5517B">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_Toc16438 \h </w:instrText>
          </w:r>
          <w:r>
            <w:fldChar w:fldCharType="separate"/>
          </w:r>
          <w:r>
            <w:t>4</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824"/>
      <w:r>
        <w:rPr>
          <w:rFonts w:hint="eastAsia"/>
          <w:lang w:val="en-US" w:eastAsia="zh-CN"/>
        </w:rPr>
        <w:t>总则</w:t>
      </w:r>
      <w:bookmarkEnd w:id="2"/>
    </w:p>
    <w:p w14:paraId="151B219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3369"/>
      <w:r>
        <w:rPr>
          <w:rFonts w:hint="eastAsia"/>
          <w:lang w:val="en-US" w:eastAsia="zh-CN"/>
        </w:rPr>
        <w:t>目的</w:t>
      </w:r>
      <w:bookmarkEnd w:id="3"/>
    </w:p>
    <w:p w14:paraId="3173E70C">
      <w:pPr>
        <w:pStyle w:val="29"/>
        <w:rPr>
          <w:rFonts w:hint="eastAsia"/>
          <w:lang w:val="en-US" w:eastAsia="zh-CN"/>
        </w:rPr>
      </w:pPr>
      <w:r>
        <w:rPr>
          <w:rFonts w:hint="eastAsia"/>
          <w:lang w:val="en-US" w:eastAsia="zh-CN"/>
        </w:rPr>
        <w:t>为规范阿克苏智汇人才服务有限公司运维服务过程中的信息安全管理，系统性地识别、评估并处置信息安全风险，确保客户及公司信息的机密性、完整性和可用性，构建稳定可靠的服务环境，特制定本制度。</w:t>
      </w:r>
    </w:p>
    <w:p w14:paraId="74FEE6B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4707"/>
      <w:r>
        <w:rPr>
          <w:rFonts w:hint="eastAsia"/>
          <w:lang w:val="en-US" w:eastAsia="zh-CN"/>
        </w:rPr>
        <w:t>适用范围</w:t>
      </w:r>
      <w:bookmarkEnd w:id="4"/>
    </w:p>
    <w:p w14:paraId="71FA5DFF">
      <w:pPr>
        <w:pStyle w:val="29"/>
        <w:rPr>
          <w:rFonts w:hint="eastAsia"/>
          <w:lang w:val="en-US" w:eastAsia="zh-CN"/>
        </w:rPr>
      </w:pPr>
      <w:r>
        <w:rPr>
          <w:rFonts w:hint="eastAsia"/>
          <w:lang w:val="en-US" w:eastAsia="zh-CN"/>
        </w:rPr>
        <w:t>本制度适用于公司运维部及其它所有参与运维服务的部门与人员，管理范围覆盖服务交付过程中涉及的所有信息资产及相关活动。</w:t>
      </w:r>
    </w:p>
    <w:p w14:paraId="1D3A738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905"/>
      <w:r>
        <w:rPr>
          <w:rFonts w:hint="eastAsia"/>
          <w:lang w:val="en-US" w:eastAsia="zh-CN"/>
        </w:rPr>
        <w:t>、原则</w:t>
      </w:r>
      <w:bookmarkEnd w:id="5"/>
    </w:p>
    <w:p w14:paraId="3A6B138D">
      <w:pPr>
        <w:pStyle w:val="29"/>
        <w:numPr>
          <w:ilvl w:val="0"/>
          <w:numId w:val="2"/>
        </w:numPr>
        <w:ind w:left="425" w:leftChars="0" w:hanging="425" w:firstLineChars="0"/>
        <w:rPr>
          <w:rFonts w:hint="eastAsia"/>
          <w:lang w:val="en-US" w:eastAsia="zh-CN"/>
        </w:rPr>
      </w:pPr>
      <w:r>
        <w:rPr>
          <w:rFonts w:hint="eastAsia"/>
          <w:lang w:val="en-US" w:eastAsia="zh-CN"/>
        </w:rPr>
        <w:t>预防为主原则：采取主动措施识别和消除安全隐患，防患于未然。</w:t>
      </w:r>
    </w:p>
    <w:p w14:paraId="26F29275">
      <w:pPr>
        <w:pStyle w:val="29"/>
        <w:numPr>
          <w:ilvl w:val="0"/>
          <w:numId w:val="2"/>
        </w:numPr>
        <w:ind w:left="425" w:leftChars="0" w:hanging="425" w:firstLineChars="0"/>
        <w:rPr>
          <w:rFonts w:hint="eastAsia"/>
          <w:lang w:val="en-US" w:eastAsia="zh-CN"/>
        </w:rPr>
      </w:pPr>
      <w:r>
        <w:rPr>
          <w:rFonts w:hint="eastAsia"/>
          <w:lang w:val="en-US" w:eastAsia="zh-CN"/>
        </w:rPr>
        <w:t>风险导向原则：所有安全决策和措施应基于风险评估的结果。</w:t>
      </w:r>
    </w:p>
    <w:p w14:paraId="07994A9C">
      <w:pPr>
        <w:pStyle w:val="29"/>
        <w:numPr>
          <w:ilvl w:val="0"/>
          <w:numId w:val="2"/>
        </w:numPr>
        <w:ind w:left="425" w:leftChars="0" w:hanging="425" w:firstLineChars="0"/>
        <w:rPr>
          <w:rFonts w:hint="eastAsia"/>
          <w:lang w:val="en-US" w:eastAsia="zh-CN"/>
        </w:rPr>
      </w:pPr>
      <w:r>
        <w:rPr>
          <w:rFonts w:hint="eastAsia"/>
          <w:lang w:val="en-US" w:eastAsia="zh-CN"/>
        </w:rPr>
        <w:t>全员参与原则：每位员工都有责任和义务维护信息安全。</w:t>
      </w:r>
    </w:p>
    <w:p w14:paraId="674CDD25">
      <w:pPr>
        <w:pStyle w:val="29"/>
        <w:numPr>
          <w:ilvl w:val="0"/>
          <w:numId w:val="2"/>
        </w:numPr>
        <w:ind w:left="425" w:leftChars="0" w:hanging="425" w:firstLineChars="0"/>
        <w:rPr>
          <w:rFonts w:hint="eastAsia"/>
          <w:lang w:val="en-US" w:eastAsia="zh-CN"/>
        </w:rPr>
      </w:pPr>
      <w:r>
        <w:rPr>
          <w:rFonts w:hint="eastAsia"/>
          <w:lang w:val="en-US" w:eastAsia="zh-CN"/>
        </w:rPr>
        <w:t>持续改进原则：定期评审信息安全状况，确保持续有效。</w:t>
      </w:r>
    </w:p>
    <w:p w14:paraId="6FCDC5E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2565"/>
      <w:r>
        <w:rPr>
          <w:rFonts w:hint="eastAsia"/>
          <w:lang w:val="en-US" w:eastAsia="zh-CN"/>
        </w:rPr>
        <w:t>岗位职责</w:t>
      </w:r>
      <w:bookmarkEnd w:id="6"/>
    </w:p>
    <w:p w14:paraId="65821B2A">
      <w:pPr>
        <w:pStyle w:val="29"/>
        <w:rPr>
          <w:rFonts w:hint="eastAsia"/>
          <w:lang w:val="en-US" w:eastAsia="zh-CN"/>
        </w:rPr>
      </w:pPr>
      <w:r>
        <w:rPr>
          <w:rFonts w:hint="eastAsia"/>
          <w:lang w:val="en-US" w:eastAsia="zh-CN"/>
        </w:rPr>
        <w:t>运维部经理</w:t>
      </w:r>
    </w:p>
    <w:p w14:paraId="52E1B9EB">
      <w:pPr>
        <w:pStyle w:val="29"/>
        <w:numPr>
          <w:ilvl w:val="0"/>
          <w:numId w:val="3"/>
        </w:numPr>
        <w:ind w:left="425" w:leftChars="0" w:hanging="425" w:firstLineChars="0"/>
        <w:rPr>
          <w:rFonts w:hint="default"/>
          <w:lang w:val="en-US" w:eastAsia="zh-CN"/>
        </w:rPr>
      </w:pPr>
      <w:r>
        <w:rPr>
          <w:rFonts w:hint="default"/>
          <w:lang w:val="en-US" w:eastAsia="zh-CN"/>
        </w:rPr>
        <w:t>负责信息安全管理的整体规划、实施与维护。</w:t>
      </w:r>
    </w:p>
    <w:p w14:paraId="242A115F">
      <w:pPr>
        <w:pStyle w:val="29"/>
        <w:numPr>
          <w:ilvl w:val="0"/>
          <w:numId w:val="3"/>
        </w:numPr>
        <w:ind w:left="425" w:leftChars="0" w:hanging="425" w:firstLineChars="0"/>
        <w:rPr>
          <w:rFonts w:hint="default"/>
          <w:lang w:val="en-US" w:eastAsia="zh-CN"/>
        </w:rPr>
      </w:pPr>
      <w:r>
        <w:rPr>
          <w:rFonts w:hint="default"/>
          <w:lang w:val="en-US" w:eastAsia="zh-CN"/>
        </w:rPr>
        <w:t>领导并组织资产盘点与风险评估工作。</w:t>
      </w:r>
    </w:p>
    <w:p w14:paraId="7D198373">
      <w:pPr>
        <w:pStyle w:val="29"/>
        <w:numPr>
          <w:ilvl w:val="0"/>
          <w:numId w:val="3"/>
        </w:numPr>
        <w:ind w:left="425" w:leftChars="0" w:hanging="425" w:firstLineChars="0"/>
        <w:rPr>
          <w:rFonts w:hint="default"/>
          <w:lang w:val="en-US" w:eastAsia="zh-CN"/>
        </w:rPr>
      </w:pPr>
      <w:r>
        <w:rPr>
          <w:rFonts w:hint="default"/>
          <w:lang w:val="en-US" w:eastAsia="zh-CN"/>
        </w:rPr>
        <w:t>审批重大安全控制措施与改进计划。</w:t>
      </w:r>
    </w:p>
    <w:p w14:paraId="3707CC9A">
      <w:pPr>
        <w:pStyle w:val="29"/>
        <w:rPr>
          <w:rFonts w:hint="eastAsia"/>
          <w:lang w:val="en-US" w:eastAsia="zh-CN"/>
        </w:rPr>
      </w:pPr>
      <w:r>
        <w:rPr>
          <w:rFonts w:hint="eastAsia"/>
          <w:lang w:val="en-US" w:eastAsia="zh-CN"/>
        </w:rPr>
        <w:t>运维工程师</w:t>
      </w:r>
    </w:p>
    <w:p w14:paraId="6284CFC8">
      <w:pPr>
        <w:pStyle w:val="29"/>
        <w:numPr>
          <w:ilvl w:val="0"/>
          <w:numId w:val="4"/>
        </w:numPr>
        <w:ind w:left="425" w:leftChars="0" w:hanging="425" w:firstLineChars="0"/>
        <w:rPr>
          <w:rFonts w:hint="default"/>
          <w:lang w:val="en-US" w:eastAsia="zh-CN"/>
        </w:rPr>
      </w:pPr>
      <w:r>
        <w:rPr>
          <w:rFonts w:hint="default"/>
          <w:lang w:val="en-US" w:eastAsia="zh-CN"/>
        </w:rPr>
        <w:t>执行信息安全管理经理分派的具体安全任务。</w:t>
      </w:r>
    </w:p>
    <w:p w14:paraId="678AAFEB">
      <w:pPr>
        <w:pStyle w:val="29"/>
        <w:numPr>
          <w:ilvl w:val="0"/>
          <w:numId w:val="4"/>
        </w:numPr>
        <w:ind w:left="425" w:leftChars="0" w:hanging="425" w:firstLineChars="0"/>
        <w:rPr>
          <w:rFonts w:hint="default"/>
          <w:lang w:val="en-US" w:eastAsia="zh-CN"/>
        </w:rPr>
      </w:pPr>
      <w:r>
        <w:rPr>
          <w:rFonts w:hint="default"/>
          <w:lang w:val="en-US" w:eastAsia="zh-CN"/>
        </w:rPr>
        <w:t>负责日常安全监控、事件初步处理与记录。</w:t>
      </w:r>
    </w:p>
    <w:p w14:paraId="3D47F9BC">
      <w:pPr>
        <w:pStyle w:val="29"/>
        <w:numPr>
          <w:ilvl w:val="0"/>
          <w:numId w:val="4"/>
        </w:numPr>
        <w:ind w:left="425" w:leftChars="0" w:hanging="425" w:firstLineChars="0"/>
        <w:rPr>
          <w:rFonts w:hint="default"/>
          <w:lang w:val="en-US" w:eastAsia="zh-CN"/>
        </w:rPr>
      </w:pPr>
      <w:r>
        <w:rPr>
          <w:rFonts w:hint="default"/>
          <w:lang w:val="en-US" w:eastAsia="zh-CN"/>
        </w:rPr>
        <w:t>协助完成安全审计与报告编写。</w:t>
      </w:r>
    </w:p>
    <w:p w14:paraId="744EE43F">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 w:name="_Toc7310"/>
      <w:r>
        <w:rPr>
          <w:rFonts w:hint="eastAsia"/>
          <w:lang w:val="en-US" w:eastAsia="zh-CN"/>
        </w:rPr>
        <w:t>引用依据</w:t>
      </w:r>
      <w:bookmarkEnd w:id="7"/>
    </w:p>
    <w:p w14:paraId="082FA1A5">
      <w:pPr>
        <w:pStyle w:val="29"/>
        <w:rPr>
          <w:rFonts w:hint="eastAsia"/>
          <w:lang w:val="en-US" w:eastAsia="zh-CN"/>
        </w:rPr>
      </w:pPr>
      <w:r>
        <w:rPr>
          <w:rFonts w:hint="eastAsia"/>
          <w:lang w:val="en-US" w:eastAsia="zh-CN"/>
        </w:rPr>
        <w:t>本制度制定引用了以下国家标准与行业规范：</w:t>
      </w:r>
    </w:p>
    <w:p w14:paraId="0575A122">
      <w:pPr>
        <w:pStyle w:val="29"/>
        <w:numPr>
          <w:ilvl w:val="0"/>
          <w:numId w:val="5"/>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5AA27FF8">
      <w:pPr>
        <w:pStyle w:val="29"/>
        <w:numPr>
          <w:ilvl w:val="0"/>
          <w:numId w:val="5"/>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00751628">
      <w:pPr>
        <w:pStyle w:val="29"/>
        <w:numPr>
          <w:ilvl w:val="0"/>
          <w:numId w:val="5"/>
        </w:numPr>
        <w:ind w:left="425" w:leftChars="0" w:hanging="425" w:firstLineChars="0"/>
        <w:rPr>
          <w:rFonts w:hint="eastAsia"/>
          <w:lang w:val="en-US" w:eastAsia="zh-CN"/>
        </w:rPr>
      </w:pPr>
      <w:r>
        <w:rPr>
          <w:rFonts w:hint="eastAsia"/>
          <w:lang w:val="en-US" w:eastAsia="zh-CN"/>
        </w:rPr>
        <w:t>GB/T 28827.3-2012 《信息技术服务 运行维护 第3部分：应急响应规范》</w:t>
      </w:r>
    </w:p>
    <w:p w14:paraId="3CBC26EA">
      <w:pPr>
        <w:pStyle w:val="29"/>
        <w:numPr>
          <w:ilvl w:val="0"/>
          <w:numId w:val="5"/>
        </w:numPr>
        <w:ind w:left="425" w:leftChars="0" w:hanging="425" w:firstLineChars="0"/>
        <w:rPr>
          <w:rFonts w:hint="eastAsia"/>
          <w:lang w:val="en-US" w:eastAsia="zh-CN"/>
        </w:rPr>
      </w:pPr>
      <w:r>
        <w:rPr>
          <w:rFonts w:hint="eastAsia"/>
          <w:lang w:val="en-US" w:eastAsia="zh-CN"/>
        </w:rPr>
        <w:t>T/CESA 1299—2023 《信息技术服务 运行维护服务能力成熟度模型》</w:t>
      </w:r>
    </w:p>
    <w:p w14:paraId="3078E5D4">
      <w:pPr>
        <w:pStyle w:val="28"/>
        <w:keepNext w:val="0"/>
        <w:keepLines w:val="0"/>
        <w:pageBreakBefore w:val="0"/>
        <w:widowControl w:val="0"/>
        <w:kinsoku w:val="0"/>
        <w:wordWrap/>
        <w:overflowPunct/>
        <w:autoSpaceDE w:val="0"/>
        <w:autoSpaceDN w:val="0"/>
        <w:bidi w:val="0"/>
        <w:adjustRightInd w:val="0"/>
        <w:snapToGrid w:val="0"/>
        <w:textAlignment w:val="baseline"/>
      </w:pPr>
      <w:bookmarkStart w:id="8" w:name="_Toc30963"/>
      <w:r>
        <w:rPr>
          <w:rFonts w:hint="eastAsia"/>
          <w:lang w:val="en-US" w:eastAsia="zh-CN"/>
        </w:rPr>
        <w:t>定义与术语</w:t>
      </w:r>
      <w:bookmarkEnd w:id="8"/>
    </w:p>
    <w:p w14:paraId="027DF891">
      <w:pPr>
        <w:pStyle w:val="30"/>
        <w:bidi w:val="0"/>
        <w:rPr>
          <w:rFonts w:hint="eastAsia"/>
        </w:rPr>
      </w:pPr>
      <w:r>
        <w:rPr>
          <w:rFonts w:hint="eastAsia"/>
        </w:rPr>
        <w:t>信息资产</w:t>
      </w:r>
    </w:p>
    <w:p w14:paraId="5FF15E9F">
      <w:pPr>
        <w:pStyle w:val="29"/>
        <w:rPr>
          <w:rFonts w:hint="eastAsia"/>
        </w:rPr>
      </w:pPr>
      <w:r>
        <w:rPr>
          <w:rFonts w:hint="eastAsia"/>
        </w:rPr>
        <w:t>任何对组织具有价值的信息及相关载体，如硬件、软件、数据、文档等。</w:t>
      </w:r>
    </w:p>
    <w:p w14:paraId="555CCFB5">
      <w:pPr>
        <w:pStyle w:val="30"/>
        <w:bidi w:val="0"/>
        <w:rPr>
          <w:rFonts w:hint="eastAsia"/>
        </w:rPr>
      </w:pPr>
      <w:r>
        <w:rPr>
          <w:rFonts w:hint="eastAsia"/>
        </w:rPr>
        <w:t>信息安全事件</w:t>
      </w:r>
    </w:p>
    <w:p w14:paraId="36268B97">
      <w:pPr>
        <w:pStyle w:val="29"/>
        <w:rPr>
          <w:rFonts w:hint="eastAsia"/>
        </w:rPr>
      </w:pPr>
      <w:r>
        <w:rPr>
          <w:rFonts w:hint="eastAsia"/>
        </w:rPr>
        <w:t>导致或可能导致信息的机密性、完整性、可用性遭受破坏的单起或多起事件。</w:t>
      </w:r>
    </w:p>
    <w:p w14:paraId="57744650">
      <w:pPr>
        <w:pStyle w:val="30"/>
        <w:bidi w:val="0"/>
        <w:rPr>
          <w:rFonts w:hint="eastAsia"/>
        </w:rPr>
      </w:pPr>
      <w:r>
        <w:rPr>
          <w:rFonts w:hint="eastAsia"/>
        </w:rPr>
        <w:t>风险评估</w:t>
      </w:r>
    </w:p>
    <w:p w14:paraId="7AE14FFA">
      <w:pPr>
        <w:pStyle w:val="29"/>
      </w:pPr>
      <w:r>
        <w:rPr>
          <w:rFonts w:hint="eastAsia"/>
        </w:rPr>
        <w:t>识别信息资产的风险、评估风险影响并确定处置优先级的过程。</w:t>
      </w:r>
    </w:p>
    <w:p w14:paraId="60EF8C3F">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4370"/>
      <w:r>
        <w:rPr>
          <w:rFonts w:hint="eastAsia"/>
          <w:lang w:val="en-US" w:eastAsia="zh-CN"/>
        </w:rPr>
        <w:t>管理内容与要求</w:t>
      </w:r>
      <w:bookmarkEnd w:id="9"/>
    </w:p>
    <w:p w14:paraId="3EC2324D">
      <w:pPr>
        <w:pStyle w:val="30"/>
        <w:bidi w:val="0"/>
        <w:rPr>
          <w:rFonts w:hint="default"/>
          <w:lang w:val="en-US" w:eastAsia="zh-CN"/>
        </w:rPr>
      </w:pPr>
      <w:r>
        <w:rPr>
          <w:rFonts w:hint="default"/>
          <w:lang w:val="en-US" w:eastAsia="zh-CN"/>
        </w:rPr>
        <w:t>资产识别与分类</w:t>
      </w:r>
    </w:p>
    <w:p w14:paraId="5BD38707">
      <w:pPr>
        <w:pStyle w:val="29"/>
        <w:rPr>
          <w:rFonts w:hint="default"/>
          <w:lang w:val="en-US" w:eastAsia="zh-CN"/>
        </w:rPr>
      </w:pPr>
      <w:r>
        <w:rPr>
          <w:rFonts w:hint="eastAsia"/>
          <w:lang w:val="en-US" w:eastAsia="zh-CN"/>
        </w:rPr>
        <w:t>运维部经理</w:t>
      </w:r>
      <w:r>
        <w:rPr>
          <w:rFonts w:hint="default"/>
          <w:lang w:val="en-US" w:eastAsia="zh-CN"/>
        </w:rPr>
        <w:t>应组织对运维服务相关的所有信息资产进行识别、登记与分类。资产分类应依据《资产分类表》进行，并填写《关键资产风险评估及控制表》，明确资产的责任人、位置、数量等关键属性。</w:t>
      </w:r>
    </w:p>
    <w:p w14:paraId="1BB19047">
      <w:pPr>
        <w:pStyle w:val="30"/>
        <w:bidi w:val="0"/>
        <w:rPr>
          <w:rFonts w:hint="default"/>
          <w:lang w:val="en-US" w:eastAsia="zh-CN"/>
        </w:rPr>
      </w:pPr>
      <w:r>
        <w:rPr>
          <w:rFonts w:hint="default"/>
          <w:lang w:val="en-US" w:eastAsia="zh-CN"/>
        </w:rPr>
        <w:t>风险识别与评估</w:t>
      </w:r>
    </w:p>
    <w:p w14:paraId="60E87D03">
      <w:pPr>
        <w:pStyle w:val="31"/>
        <w:bidi w:val="0"/>
        <w:rPr>
          <w:rFonts w:hint="default"/>
          <w:lang w:val="en-US" w:eastAsia="zh-CN"/>
        </w:rPr>
      </w:pPr>
      <w:r>
        <w:rPr>
          <w:rFonts w:hint="default"/>
          <w:lang w:val="en-US" w:eastAsia="zh-CN"/>
        </w:rPr>
        <w:t>风险识别</w:t>
      </w:r>
    </w:p>
    <w:p w14:paraId="41CABAB3">
      <w:pPr>
        <w:pStyle w:val="29"/>
        <w:rPr>
          <w:rFonts w:hint="default"/>
          <w:lang w:val="en-US" w:eastAsia="zh-CN"/>
        </w:rPr>
      </w:pPr>
      <w:r>
        <w:rPr>
          <w:rFonts w:hint="default"/>
          <w:lang w:val="en-US" w:eastAsia="zh-CN"/>
        </w:rPr>
        <w:t>应参照《机房环境安全管理规范》等系列安全规范，识别各资产面临的安全威胁与自身弱点。变更管理流程中必须充分考虑信息安全风险。</w:t>
      </w:r>
    </w:p>
    <w:p w14:paraId="34CA5BE0">
      <w:pPr>
        <w:pStyle w:val="31"/>
        <w:bidi w:val="0"/>
        <w:rPr>
          <w:rFonts w:hint="default"/>
          <w:lang w:val="en-US" w:eastAsia="zh-CN"/>
        </w:rPr>
      </w:pPr>
      <w:r>
        <w:rPr>
          <w:rFonts w:hint="default"/>
          <w:lang w:val="en-US" w:eastAsia="zh-CN"/>
        </w:rPr>
        <w:t>风险评估</w:t>
      </w:r>
    </w:p>
    <w:p w14:paraId="49ADB5BF">
      <w:pPr>
        <w:pStyle w:val="29"/>
        <w:rPr>
          <w:rFonts w:hint="default"/>
          <w:lang w:val="en-US" w:eastAsia="zh-CN"/>
        </w:rPr>
      </w:pPr>
      <w:r>
        <w:rPr>
          <w:rFonts w:hint="default"/>
          <w:lang w:val="en-US" w:eastAsia="zh-CN"/>
        </w:rPr>
        <w:t>采用风险值（Risk Value）进行量化评估。风险值由资产重要度（Asset Criticality）与风险发生概率（Risk Probability）相乘得出。</w:t>
      </w:r>
    </w:p>
    <w:p w14:paraId="78F24A67">
      <w:pPr>
        <w:pStyle w:val="29"/>
        <w:rPr>
          <w:rFonts w:hint="eastAsia"/>
          <w:lang w:val="en-US" w:eastAsia="zh-CN"/>
        </w:rPr>
      </w:pPr>
      <w:r>
        <w:rPr>
          <w:rFonts w:hint="eastAsia"/>
          <w:lang w:val="en-US" w:eastAsia="zh-CN"/>
        </w:rPr>
        <w:t>资产重要度判定表如图4-1所示</w:t>
      </w:r>
    </w:p>
    <w:p w14:paraId="30B7634F">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w:instrText>
      </w:r>
      <w:r>
        <w:rPr>
          <w:rFonts w:hint="eastAsia"/>
          <w:lang w:val="en-US" w:eastAsia="zh-CN"/>
        </w:rPr>
        <w:instrText xml:space="preserve"> STYLEREF "柴_标题1" \n \* Charformat</w:instrText>
      </w:r>
      <w:r>
        <w:rPr>
          <w:rFonts w:hint="eastAsia"/>
          <w:lang w:val="en-US" w:eastAsia="zh-CN"/>
        </w:rPr>
        <w:instrText xml:space="preserve">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w:instrText>
      </w:r>
      <w:r>
        <w:rPr>
          <w:rFonts w:hint="eastAsia"/>
          <w:lang w:val="en-US" w:eastAsia="zh-CN"/>
        </w:rPr>
        <w:instrText xml:space="preserve"> SEQ 表 \* ARABIC  \s 1</w:instrText>
      </w:r>
      <w:r>
        <w:rPr>
          <w:rFonts w:hint="eastAsia"/>
          <w:lang w:val="en-US" w:eastAsia="zh-CN"/>
        </w:rPr>
        <w:instrText xml:space="preserve">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资产重要度判定表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29"/>
        <w:gridCol w:w="3552"/>
        <w:gridCol w:w="2841"/>
      </w:tblGrid>
      <w:tr w14:paraId="4E15F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tcPr>
          <w:p w14:paraId="704E6C37">
            <w:pPr>
              <w:pStyle w:val="29"/>
              <w:ind w:right="0" w:rightChars="0"/>
              <w:jc w:val="center"/>
              <w:rPr>
                <w:rFonts w:hint="default"/>
                <w:vertAlign w:val="baseline"/>
                <w:lang w:val="en-US" w:eastAsia="zh-CN"/>
              </w:rPr>
            </w:pPr>
            <w:r>
              <w:rPr>
                <w:rFonts w:hint="eastAsia"/>
                <w:vertAlign w:val="baseline"/>
                <w:lang w:val="en-US" w:eastAsia="zh-CN"/>
              </w:rPr>
              <w:t>原值</w:t>
            </w:r>
          </w:p>
        </w:tc>
        <w:tc>
          <w:tcPr>
            <w:tcW w:w="3552" w:type="dxa"/>
          </w:tcPr>
          <w:p w14:paraId="29DE0C24">
            <w:pPr>
              <w:pStyle w:val="29"/>
              <w:ind w:right="0" w:rightChars="0"/>
              <w:jc w:val="center"/>
              <w:rPr>
                <w:rFonts w:hint="default"/>
                <w:vertAlign w:val="baseline"/>
                <w:lang w:val="en-US" w:eastAsia="zh-CN"/>
              </w:rPr>
            </w:pPr>
            <w:r>
              <w:rPr>
                <w:rFonts w:hint="eastAsia"/>
                <w:vertAlign w:val="baseline"/>
                <w:lang w:val="en-US" w:eastAsia="zh-CN"/>
              </w:rPr>
              <w:t>关联的服务重要度</w:t>
            </w:r>
          </w:p>
        </w:tc>
        <w:tc>
          <w:tcPr>
            <w:tcW w:w="2841" w:type="dxa"/>
          </w:tcPr>
          <w:p w14:paraId="4D2FE79A">
            <w:pPr>
              <w:pStyle w:val="29"/>
              <w:ind w:right="0" w:rightChars="0"/>
              <w:jc w:val="center"/>
              <w:rPr>
                <w:rFonts w:hint="default"/>
                <w:vertAlign w:val="baseline"/>
                <w:lang w:val="en-US" w:eastAsia="zh-CN"/>
              </w:rPr>
            </w:pPr>
            <w:r>
              <w:rPr>
                <w:rFonts w:hint="eastAsia"/>
                <w:vertAlign w:val="baseline"/>
                <w:lang w:val="en-US" w:eastAsia="zh-CN"/>
              </w:rPr>
              <w:t>等级</w:t>
            </w:r>
          </w:p>
        </w:tc>
      </w:tr>
      <w:tr w14:paraId="23ED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0AE9FCEF">
            <w:pPr>
              <w:pStyle w:val="29"/>
              <w:ind w:right="0" w:rightChars="0"/>
              <w:jc w:val="center"/>
              <w:rPr>
                <w:rFonts w:hint="default"/>
                <w:vertAlign w:val="baseline"/>
                <w:lang w:val="en-US" w:eastAsia="zh-CN"/>
              </w:rPr>
            </w:pPr>
            <w:r>
              <w:rPr>
                <w:rFonts w:hint="eastAsia"/>
                <w:vertAlign w:val="baseline"/>
                <w:lang w:val="en-US" w:eastAsia="zh-CN"/>
              </w:rPr>
              <w:t>低</w:t>
            </w:r>
          </w:p>
        </w:tc>
        <w:tc>
          <w:tcPr>
            <w:tcW w:w="3552" w:type="dxa"/>
            <w:shd w:val="clear"/>
            <w:vAlign w:val="top"/>
          </w:tcPr>
          <w:p w14:paraId="58C420F4">
            <w:pPr>
              <w:pStyle w:val="29"/>
              <w:ind w:right="0" w:rightChars="0" w:firstLine="480" w:firstLineChars="20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低</w:t>
            </w:r>
          </w:p>
        </w:tc>
        <w:tc>
          <w:tcPr>
            <w:tcW w:w="2841" w:type="dxa"/>
          </w:tcPr>
          <w:p w14:paraId="6FBF5C8F">
            <w:pPr>
              <w:pStyle w:val="29"/>
              <w:ind w:right="0" w:rightChars="0"/>
              <w:jc w:val="center"/>
              <w:rPr>
                <w:rFonts w:hint="default"/>
                <w:vertAlign w:val="baseline"/>
                <w:lang w:val="en-US" w:eastAsia="zh-CN"/>
              </w:rPr>
            </w:pPr>
            <w:r>
              <w:rPr>
                <w:rFonts w:hint="eastAsia"/>
                <w:vertAlign w:val="baseline"/>
                <w:lang w:val="en-US" w:eastAsia="zh-CN"/>
              </w:rPr>
              <w:t>1</w:t>
            </w:r>
          </w:p>
        </w:tc>
      </w:tr>
      <w:tr w14:paraId="1E7F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4C315A1D">
            <w:pPr>
              <w:pStyle w:val="29"/>
              <w:ind w:right="0" w:rightChars="0"/>
              <w:jc w:val="center"/>
              <w:rPr>
                <w:rFonts w:hint="default"/>
                <w:vertAlign w:val="baseline"/>
                <w:lang w:val="en-US" w:eastAsia="zh-CN"/>
              </w:rPr>
            </w:pPr>
            <w:r>
              <w:rPr>
                <w:rFonts w:hint="eastAsia"/>
                <w:vertAlign w:val="baseline"/>
                <w:lang w:val="en-US" w:eastAsia="zh-CN"/>
              </w:rPr>
              <w:t>较低</w:t>
            </w:r>
          </w:p>
        </w:tc>
        <w:tc>
          <w:tcPr>
            <w:tcW w:w="3552" w:type="dxa"/>
            <w:shd w:val="clear"/>
            <w:vAlign w:val="top"/>
          </w:tcPr>
          <w:p w14:paraId="180A45A3">
            <w:pPr>
              <w:pStyle w:val="29"/>
              <w:ind w:right="0" w:rightChars="0" w:firstLine="480" w:firstLineChars="20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较低</w:t>
            </w:r>
          </w:p>
        </w:tc>
        <w:tc>
          <w:tcPr>
            <w:tcW w:w="2841" w:type="dxa"/>
          </w:tcPr>
          <w:p w14:paraId="37ED8900">
            <w:pPr>
              <w:pStyle w:val="29"/>
              <w:ind w:right="0" w:rightChars="0"/>
              <w:jc w:val="center"/>
              <w:rPr>
                <w:rFonts w:hint="default"/>
                <w:vertAlign w:val="baseline"/>
                <w:lang w:val="en-US" w:eastAsia="zh-CN"/>
              </w:rPr>
            </w:pPr>
            <w:r>
              <w:rPr>
                <w:rFonts w:hint="eastAsia"/>
                <w:vertAlign w:val="baseline"/>
                <w:lang w:val="en-US" w:eastAsia="zh-CN"/>
              </w:rPr>
              <w:t>2</w:t>
            </w:r>
          </w:p>
        </w:tc>
      </w:tr>
      <w:tr w14:paraId="6F112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44931164">
            <w:pPr>
              <w:pStyle w:val="29"/>
              <w:ind w:right="0" w:rightChars="0"/>
              <w:jc w:val="center"/>
              <w:rPr>
                <w:rFonts w:hint="default"/>
                <w:vertAlign w:val="baseline"/>
                <w:lang w:val="en-US" w:eastAsia="zh-CN"/>
              </w:rPr>
            </w:pPr>
            <w:r>
              <w:rPr>
                <w:rFonts w:hint="eastAsia"/>
                <w:vertAlign w:val="baseline"/>
                <w:lang w:val="en-US" w:eastAsia="zh-CN"/>
              </w:rPr>
              <w:t>中</w:t>
            </w:r>
          </w:p>
        </w:tc>
        <w:tc>
          <w:tcPr>
            <w:tcW w:w="3552" w:type="dxa"/>
            <w:shd w:val="clear"/>
            <w:vAlign w:val="top"/>
          </w:tcPr>
          <w:p w14:paraId="18EE3AFD">
            <w:pPr>
              <w:pStyle w:val="29"/>
              <w:ind w:right="0" w:rightChars="0" w:firstLine="480" w:firstLineChars="20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中</w:t>
            </w:r>
          </w:p>
        </w:tc>
        <w:tc>
          <w:tcPr>
            <w:tcW w:w="2841" w:type="dxa"/>
          </w:tcPr>
          <w:p w14:paraId="5BF07269">
            <w:pPr>
              <w:pStyle w:val="29"/>
              <w:ind w:right="0" w:rightChars="0"/>
              <w:jc w:val="center"/>
              <w:rPr>
                <w:rFonts w:hint="default"/>
                <w:vertAlign w:val="baseline"/>
                <w:lang w:val="en-US" w:eastAsia="zh-CN"/>
              </w:rPr>
            </w:pPr>
            <w:r>
              <w:rPr>
                <w:rFonts w:hint="eastAsia"/>
                <w:vertAlign w:val="baseline"/>
                <w:lang w:val="en-US" w:eastAsia="zh-CN"/>
              </w:rPr>
              <w:t>3</w:t>
            </w:r>
          </w:p>
        </w:tc>
      </w:tr>
      <w:tr w14:paraId="03E4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34AF4098">
            <w:pPr>
              <w:pStyle w:val="29"/>
              <w:ind w:right="0" w:rightChars="0"/>
              <w:jc w:val="center"/>
              <w:rPr>
                <w:rFonts w:hint="default"/>
                <w:vertAlign w:val="baseline"/>
                <w:lang w:val="en-US" w:eastAsia="zh-CN"/>
              </w:rPr>
            </w:pPr>
            <w:r>
              <w:rPr>
                <w:rFonts w:hint="eastAsia"/>
                <w:vertAlign w:val="baseline"/>
                <w:lang w:val="en-US" w:eastAsia="zh-CN"/>
              </w:rPr>
              <w:t>较高</w:t>
            </w:r>
          </w:p>
        </w:tc>
        <w:tc>
          <w:tcPr>
            <w:tcW w:w="3552" w:type="dxa"/>
            <w:shd w:val="clear"/>
            <w:vAlign w:val="top"/>
          </w:tcPr>
          <w:p w14:paraId="1EFC051A">
            <w:pPr>
              <w:pStyle w:val="29"/>
              <w:ind w:right="0" w:rightChars="0" w:firstLine="480" w:firstLineChars="20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较高</w:t>
            </w:r>
          </w:p>
        </w:tc>
        <w:tc>
          <w:tcPr>
            <w:tcW w:w="2841" w:type="dxa"/>
          </w:tcPr>
          <w:p w14:paraId="5C63EC0F">
            <w:pPr>
              <w:pStyle w:val="29"/>
              <w:ind w:right="0" w:rightChars="0"/>
              <w:jc w:val="center"/>
              <w:rPr>
                <w:rFonts w:hint="default"/>
                <w:vertAlign w:val="baseline"/>
                <w:lang w:val="en-US" w:eastAsia="zh-CN"/>
              </w:rPr>
            </w:pPr>
            <w:r>
              <w:rPr>
                <w:rFonts w:hint="eastAsia"/>
                <w:vertAlign w:val="baseline"/>
                <w:lang w:val="en-US" w:eastAsia="zh-CN"/>
              </w:rPr>
              <w:t>4</w:t>
            </w:r>
          </w:p>
        </w:tc>
      </w:tr>
      <w:tr w14:paraId="43DA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58A146F8">
            <w:pPr>
              <w:pStyle w:val="29"/>
              <w:ind w:right="0" w:rightChars="0"/>
              <w:jc w:val="center"/>
              <w:rPr>
                <w:rFonts w:hint="default"/>
                <w:vertAlign w:val="baseline"/>
                <w:lang w:val="en-US" w:eastAsia="zh-CN"/>
              </w:rPr>
            </w:pPr>
            <w:r>
              <w:rPr>
                <w:rFonts w:hint="eastAsia"/>
                <w:vertAlign w:val="baseline"/>
                <w:lang w:val="en-US" w:eastAsia="zh-CN"/>
              </w:rPr>
              <w:t>高</w:t>
            </w:r>
          </w:p>
        </w:tc>
        <w:tc>
          <w:tcPr>
            <w:tcW w:w="3552" w:type="dxa"/>
            <w:shd w:val="clear"/>
            <w:vAlign w:val="top"/>
          </w:tcPr>
          <w:p w14:paraId="2C5D5129">
            <w:pPr>
              <w:pStyle w:val="29"/>
              <w:ind w:right="0" w:rightChars="0" w:firstLine="480" w:firstLineChars="20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高</w:t>
            </w:r>
          </w:p>
        </w:tc>
        <w:tc>
          <w:tcPr>
            <w:tcW w:w="2841" w:type="dxa"/>
          </w:tcPr>
          <w:p w14:paraId="30D7059D">
            <w:pPr>
              <w:pStyle w:val="29"/>
              <w:ind w:right="0" w:rightChars="0"/>
              <w:jc w:val="center"/>
              <w:rPr>
                <w:rFonts w:hint="default"/>
                <w:vertAlign w:val="baseline"/>
                <w:lang w:val="en-US" w:eastAsia="zh-CN"/>
              </w:rPr>
            </w:pPr>
            <w:r>
              <w:rPr>
                <w:rFonts w:hint="eastAsia"/>
                <w:vertAlign w:val="baseline"/>
                <w:lang w:val="en-US" w:eastAsia="zh-CN"/>
              </w:rPr>
              <w:t>5</w:t>
            </w:r>
          </w:p>
        </w:tc>
      </w:tr>
    </w:tbl>
    <w:p w14:paraId="2F41E70E">
      <w:pPr>
        <w:pStyle w:val="29"/>
        <w:ind w:left="0" w:leftChars="0" w:right="0" w:rightChars="0" w:firstLine="0" w:firstLineChars="0"/>
        <w:jc w:val="center"/>
        <w:rPr>
          <w:rFonts w:hint="default"/>
          <w:lang w:val="en-US" w:eastAsia="zh-CN"/>
        </w:rPr>
      </w:pPr>
    </w:p>
    <w:p w14:paraId="0CC9E27C">
      <w:pPr>
        <w:pStyle w:val="29"/>
        <w:rPr>
          <w:rFonts w:hint="eastAsia"/>
          <w:lang w:val="en-US" w:eastAsia="zh-CN"/>
        </w:rPr>
      </w:pPr>
      <w:r>
        <w:rPr>
          <w:rFonts w:hint="eastAsia"/>
          <w:lang w:val="en-US" w:eastAsia="zh-CN"/>
        </w:rPr>
        <w:t>风险发生概率判定表如图4-2所示</w:t>
      </w:r>
    </w:p>
    <w:p w14:paraId="67902119">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风险发生概率判定表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75"/>
        <w:gridCol w:w="5647"/>
      </w:tblGrid>
      <w:tr w14:paraId="3C1DA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75" w:type="dxa"/>
          </w:tcPr>
          <w:p w14:paraId="6367F525">
            <w:pPr>
              <w:pStyle w:val="29"/>
              <w:ind w:right="0" w:rightChars="0"/>
              <w:jc w:val="center"/>
              <w:rPr>
                <w:rFonts w:hint="default"/>
                <w:vertAlign w:val="baseline"/>
                <w:lang w:val="en-US" w:eastAsia="zh-CN"/>
              </w:rPr>
            </w:pPr>
            <w:r>
              <w:rPr>
                <w:rFonts w:hint="eastAsia"/>
                <w:vertAlign w:val="baseline"/>
                <w:lang w:val="en-US" w:eastAsia="zh-CN"/>
              </w:rPr>
              <w:t>发生可能性范围</w:t>
            </w:r>
          </w:p>
        </w:tc>
        <w:tc>
          <w:tcPr>
            <w:tcW w:w="5647" w:type="dxa"/>
          </w:tcPr>
          <w:p w14:paraId="69B60029">
            <w:pPr>
              <w:pStyle w:val="29"/>
              <w:ind w:right="0" w:rightChars="0"/>
              <w:jc w:val="center"/>
              <w:rPr>
                <w:rFonts w:hint="default"/>
                <w:vertAlign w:val="baseline"/>
                <w:lang w:val="en-US" w:eastAsia="zh-CN"/>
              </w:rPr>
            </w:pPr>
            <w:r>
              <w:rPr>
                <w:rFonts w:hint="eastAsia"/>
                <w:vertAlign w:val="baseline"/>
                <w:lang w:val="en-US" w:eastAsia="zh-CN"/>
              </w:rPr>
              <w:t>等级</w:t>
            </w:r>
          </w:p>
        </w:tc>
      </w:tr>
      <w:tr w14:paraId="0609B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75" w:type="dxa"/>
          </w:tcPr>
          <w:p w14:paraId="0F06AC77">
            <w:pPr>
              <w:pStyle w:val="29"/>
              <w:ind w:right="0" w:rightChars="0"/>
              <w:jc w:val="center"/>
              <w:rPr>
                <w:rFonts w:hint="default"/>
                <w:vertAlign w:val="baseline"/>
                <w:lang w:val="en-US" w:eastAsia="zh-CN"/>
              </w:rPr>
            </w:pPr>
            <w:r>
              <w:rPr>
                <w:rFonts w:hint="eastAsia"/>
                <w:vertAlign w:val="baseline"/>
                <w:lang w:val="en-US" w:eastAsia="zh-CN"/>
              </w:rPr>
              <w:t>1%~20%</w:t>
            </w:r>
          </w:p>
        </w:tc>
        <w:tc>
          <w:tcPr>
            <w:tcW w:w="5647" w:type="dxa"/>
            <w:shd w:val="clear"/>
            <w:vAlign w:val="top"/>
          </w:tcPr>
          <w:p w14:paraId="3C033EFC">
            <w:pPr>
              <w:pStyle w:val="29"/>
              <w:ind w:right="0" w:rightChars="0" w:firstLine="480" w:firstLineChars="20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1</w:t>
            </w:r>
          </w:p>
        </w:tc>
      </w:tr>
      <w:tr w14:paraId="6AA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75" w:type="dxa"/>
          </w:tcPr>
          <w:p w14:paraId="55034BCD">
            <w:pPr>
              <w:pStyle w:val="29"/>
              <w:ind w:right="0" w:rightChars="0"/>
              <w:jc w:val="center"/>
              <w:rPr>
                <w:rFonts w:hint="eastAsia"/>
                <w:vertAlign w:val="baseline"/>
                <w:lang w:val="en-US" w:eastAsia="zh-CN"/>
              </w:rPr>
            </w:pPr>
            <w:r>
              <w:rPr>
                <w:rFonts w:hint="eastAsia"/>
                <w:vertAlign w:val="baseline"/>
                <w:lang w:val="en-US" w:eastAsia="zh-CN"/>
              </w:rPr>
              <w:t>21%~40%</w:t>
            </w:r>
          </w:p>
        </w:tc>
        <w:tc>
          <w:tcPr>
            <w:tcW w:w="5647" w:type="dxa"/>
            <w:shd w:val="clear"/>
            <w:vAlign w:val="top"/>
          </w:tcPr>
          <w:p w14:paraId="1D704FC7">
            <w:pPr>
              <w:pStyle w:val="29"/>
              <w:ind w:right="0" w:rightChars="0" w:firstLine="480" w:firstLineChars="20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w:t>
            </w:r>
          </w:p>
        </w:tc>
      </w:tr>
      <w:tr w14:paraId="1E85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75" w:type="dxa"/>
          </w:tcPr>
          <w:p w14:paraId="3D953530">
            <w:pPr>
              <w:pStyle w:val="29"/>
              <w:ind w:right="0" w:rightChars="0"/>
              <w:jc w:val="center"/>
              <w:rPr>
                <w:rFonts w:hint="eastAsia"/>
                <w:vertAlign w:val="baseline"/>
                <w:lang w:val="en-US" w:eastAsia="zh-CN"/>
              </w:rPr>
            </w:pPr>
            <w:r>
              <w:rPr>
                <w:rFonts w:hint="eastAsia"/>
                <w:vertAlign w:val="baseline"/>
                <w:lang w:val="en-US" w:eastAsia="zh-CN"/>
              </w:rPr>
              <w:t>41%~60%</w:t>
            </w:r>
          </w:p>
        </w:tc>
        <w:tc>
          <w:tcPr>
            <w:tcW w:w="5647" w:type="dxa"/>
            <w:shd w:val="clear"/>
            <w:vAlign w:val="top"/>
          </w:tcPr>
          <w:p w14:paraId="1086AD4A">
            <w:pPr>
              <w:pStyle w:val="29"/>
              <w:ind w:right="0" w:rightChars="0" w:firstLine="480" w:firstLineChars="20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3</w:t>
            </w:r>
          </w:p>
        </w:tc>
      </w:tr>
      <w:tr w14:paraId="5387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75" w:type="dxa"/>
          </w:tcPr>
          <w:p w14:paraId="3FFE0971">
            <w:pPr>
              <w:pStyle w:val="29"/>
              <w:ind w:right="0" w:rightChars="0"/>
              <w:jc w:val="center"/>
              <w:rPr>
                <w:rFonts w:hint="eastAsia"/>
                <w:vertAlign w:val="baseline"/>
                <w:lang w:val="en-US" w:eastAsia="zh-CN"/>
              </w:rPr>
            </w:pPr>
            <w:r>
              <w:rPr>
                <w:rFonts w:hint="eastAsia"/>
                <w:vertAlign w:val="baseline"/>
                <w:lang w:val="en-US" w:eastAsia="zh-CN"/>
              </w:rPr>
              <w:t>61%~80%</w:t>
            </w:r>
          </w:p>
        </w:tc>
        <w:tc>
          <w:tcPr>
            <w:tcW w:w="5647" w:type="dxa"/>
            <w:shd w:val="clear"/>
            <w:vAlign w:val="top"/>
          </w:tcPr>
          <w:p w14:paraId="20753BA6">
            <w:pPr>
              <w:pStyle w:val="29"/>
              <w:ind w:right="0" w:rightChars="0" w:firstLine="480" w:firstLineChars="20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4</w:t>
            </w:r>
          </w:p>
        </w:tc>
      </w:tr>
      <w:tr w14:paraId="5774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75" w:type="dxa"/>
          </w:tcPr>
          <w:p w14:paraId="359A5E19">
            <w:pPr>
              <w:pStyle w:val="29"/>
              <w:ind w:right="0" w:rightChars="0"/>
              <w:jc w:val="center"/>
              <w:rPr>
                <w:rFonts w:hint="eastAsia"/>
                <w:vertAlign w:val="baseline"/>
                <w:lang w:val="en-US" w:eastAsia="zh-CN"/>
              </w:rPr>
            </w:pPr>
            <w:r>
              <w:rPr>
                <w:rFonts w:hint="eastAsia"/>
                <w:vertAlign w:val="baseline"/>
                <w:lang w:val="en-US" w:eastAsia="zh-CN"/>
              </w:rPr>
              <w:t>81%~100%</w:t>
            </w:r>
          </w:p>
        </w:tc>
        <w:tc>
          <w:tcPr>
            <w:tcW w:w="5647" w:type="dxa"/>
            <w:shd w:val="clear"/>
            <w:vAlign w:val="top"/>
          </w:tcPr>
          <w:p w14:paraId="452A06FA">
            <w:pPr>
              <w:pStyle w:val="29"/>
              <w:ind w:right="0" w:rightChars="0" w:firstLine="480" w:firstLineChars="20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5</w:t>
            </w:r>
          </w:p>
        </w:tc>
      </w:tr>
    </w:tbl>
    <w:p w14:paraId="1E686D62">
      <w:pPr>
        <w:pStyle w:val="29"/>
        <w:bidi w:val="0"/>
        <w:rPr>
          <w:rFonts w:hint="default"/>
        </w:rPr>
      </w:pPr>
      <w:r>
        <w:t>风险等级</w:t>
      </w:r>
      <w:r>
        <w:rPr>
          <w:rFonts w:hint="default"/>
        </w:rPr>
        <w:t>：计算风险值（1-25），并依据公司设定的可接受风险水平（阈值）确定风险等级。</w:t>
      </w:r>
    </w:p>
    <w:p w14:paraId="426F1140">
      <w:pPr>
        <w:pStyle w:val="30"/>
        <w:bidi w:val="0"/>
        <w:rPr>
          <w:rFonts w:hint="default"/>
        </w:rPr>
      </w:pPr>
      <w:r>
        <w:rPr>
          <w:rFonts w:hint="default"/>
        </w:rPr>
        <w:t>风险处置</w:t>
      </w:r>
    </w:p>
    <w:p w14:paraId="13E05745">
      <w:pPr>
        <w:pStyle w:val="29"/>
        <w:bidi w:val="0"/>
        <w:rPr>
          <w:rFonts w:hint="default"/>
        </w:rPr>
      </w:pPr>
      <w:r>
        <w:rPr>
          <w:rFonts w:hint="default"/>
        </w:rPr>
        <w:t>对于超过可接受水平的风险，应采取以下一种或多种方式进行处置：</w:t>
      </w:r>
    </w:p>
    <w:p w14:paraId="31BB4A71">
      <w:pPr>
        <w:pStyle w:val="29"/>
        <w:bidi w:val="0"/>
        <w:rPr>
          <w:rFonts w:hint="default"/>
        </w:rPr>
      </w:pPr>
      <w:r>
        <w:rPr>
          <w:rFonts w:hint="default"/>
        </w:rPr>
        <w:t>实施控制措施：采用适当的技术或管理措施降低风险。</w:t>
      </w:r>
    </w:p>
    <w:p w14:paraId="263EF657">
      <w:pPr>
        <w:pStyle w:val="29"/>
        <w:bidi w:val="0"/>
        <w:rPr>
          <w:rFonts w:hint="default"/>
        </w:rPr>
      </w:pPr>
      <w:r>
        <w:rPr>
          <w:rFonts w:hint="default"/>
        </w:rPr>
        <w:t>风险接受：在符合组织政策的前提下，明确接受该风险。</w:t>
      </w:r>
    </w:p>
    <w:p w14:paraId="00793E98">
      <w:pPr>
        <w:pStyle w:val="29"/>
        <w:bidi w:val="0"/>
        <w:rPr>
          <w:rFonts w:hint="default"/>
        </w:rPr>
      </w:pPr>
      <w:r>
        <w:rPr>
          <w:rFonts w:hint="default"/>
        </w:rPr>
        <w:t>风险规避：通过取消相关活动来避免风险。</w:t>
      </w:r>
    </w:p>
    <w:p w14:paraId="5503267D">
      <w:pPr>
        <w:pStyle w:val="29"/>
        <w:bidi w:val="0"/>
        <w:rPr>
          <w:rFonts w:hint="default"/>
        </w:rPr>
      </w:pPr>
      <w:r>
        <w:rPr>
          <w:rFonts w:hint="default"/>
        </w:rPr>
        <w:t>风险转移：通过保险或第三方服务转移风险。</w:t>
      </w:r>
    </w:p>
    <w:p w14:paraId="4FD21DA0">
      <w:pPr>
        <w:pStyle w:val="29"/>
        <w:bidi w:val="0"/>
        <w:rPr>
          <w:rFonts w:hint="default"/>
        </w:rPr>
      </w:pPr>
      <w:r>
        <w:rPr>
          <w:rFonts w:hint="default"/>
        </w:rPr>
        <w:t>处置后需重新评估，确保风险已降至可接受水平。</w:t>
      </w:r>
    </w:p>
    <w:p w14:paraId="3D459388">
      <w:pPr>
        <w:pStyle w:val="30"/>
        <w:bidi w:val="0"/>
        <w:rPr>
          <w:rFonts w:hint="default"/>
        </w:rPr>
      </w:pPr>
      <w:r>
        <w:rPr>
          <w:rFonts w:hint="default"/>
        </w:rPr>
        <w:t>安全事件管理</w:t>
      </w:r>
    </w:p>
    <w:p w14:paraId="657C9B7F">
      <w:pPr>
        <w:pStyle w:val="29"/>
        <w:bidi w:val="0"/>
        <w:rPr>
          <w:rFonts w:hint="default"/>
        </w:rPr>
      </w:pPr>
      <w:r>
        <w:rPr>
          <w:rFonts w:hint="default"/>
        </w:rPr>
        <w:t>所有信息安全事件必须通过事件管理流程进行记录、处理和跟踪。信</w:t>
      </w:r>
      <w:r>
        <w:rPr>
          <w:rFonts w:hint="eastAsia"/>
          <w:lang w:val="en-US" w:eastAsia="zh-CN"/>
        </w:rPr>
        <w:t>运维部经理</w:t>
      </w:r>
      <w:r>
        <w:rPr>
          <w:rFonts w:hint="default"/>
        </w:rPr>
        <w:t>应定期分析事件数据，编制《信息安全事件统计表》，并据此提出改进措施。</w:t>
      </w:r>
    </w:p>
    <w:p w14:paraId="20996234">
      <w:pPr>
        <w:pStyle w:val="30"/>
        <w:bidi w:val="0"/>
        <w:rPr>
          <w:rFonts w:hint="default"/>
        </w:rPr>
      </w:pPr>
      <w:r>
        <w:rPr>
          <w:rFonts w:hint="default"/>
        </w:rPr>
        <w:t>关键控制点与测量指标</w:t>
      </w:r>
    </w:p>
    <w:p w14:paraId="380A8B98">
      <w:pPr>
        <w:pStyle w:val="29"/>
        <w:bidi w:val="0"/>
        <w:rPr>
          <w:rFonts w:hint="default"/>
        </w:rPr>
      </w:pPr>
      <w:r>
        <w:rPr>
          <w:rFonts w:hint="default"/>
        </w:rPr>
        <w:t>为确保信息安全管理流程的有效执行和持续改进，特设定以下关键控制点与量化测量指标。</w:t>
      </w:r>
    </w:p>
    <w:p w14:paraId="7FB3D030">
      <w:pPr>
        <w:pStyle w:val="31"/>
        <w:bidi w:val="0"/>
        <w:rPr>
          <w:rFonts w:hint="default"/>
        </w:rPr>
      </w:pPr>
      <w:r>
        <w:rPr>
          <w:rFonts w:hint="default"/>
        </w:rPr>
        <w:t>关键控制点</w:t>
      </w:r>
    </w:p>
    <w:p w14:paraId="0848CBDD">
      <w:pPr>
        <w:pStyle w:val="29"/>
        <w:numPr>
          <w:ilvl w:val="0"/>
          <w:numId w:val="6"/>
        </w:numPr>
        <w:bidi w:val="0"/>
        <w:ind w:left="425" w:leftChars="0" w:hanging="425" w:firstLineChars="0"/>
        <w:rPr>
          <w:rFonts w:hint="default"/>
        </w:rPr>
      </w:pPr>
      <w:r>
        <w:rPr>
          <w:rFonts w:hint="default"/>
        </w:rPr>
        <w:t>所有关键信息资产必须被识别、登记并定期审核。</w:t>
      </w:r>
    </w:p>
    <w:p w14:paraId="5E78125E">
      <w:pPr>
        <w:pStyle w:val="29"/>
        <w:numPr>
          <w:ilvl w:val="0"/>
          <w:numId w:val="6"/>
        </w:numPr>
        <w:bidi w:val="0"/>
        <w:ind w:left="425" w:leftChars="0" w:hanging="425" w:firstLineChars="0"/>
        <w:rPr>
          <w:rFonts w:hint="default"/>
        </w:rPr>
      </w:pPr>
      <w:r>
        <w:rPr>
          <w:rFonts w:hint="default"/>
        </w:rPr>
        <w:t>所有变更必须经过信息安全风险评估。</w:t>
      </w:r>
    </w:p>
    <w:p w14:paraId="69D5E067">
      <w:pPr>
        <w:pStyle w:val="29"/>
        <w:numPr>
          <w:ilvl w:val="0"/>
          <w:numId w:val="6"/>
        </w:numPr>
        <w:bidi w:val="0"/>
        <w:ind w:left="425" w:leftChars="0" w:hanging="425" w:firstLineChars="0"/>
        <w:rPr>
          <w:rFonts w:hint="default"/>
        </w:rPr>
      </w:pPr>
      <w:r>
        <w:rPr>
          <w:rFonts w:hint="default"/>
        </w:rPr>
        <w:t>所有信息安全事件必须被记录、分析并用于持续改进。</w:t>
      </w:r>
    </w:p>
    <w:p w14:paraId="0847A6AB">
      <w:pPr>
        <w:pStyle w:val="31"/>
        <w:bidi w:val="0"/>
        <w:rPr>
          <w:rFonts w:hint="default"/>
        </w:rPr>
      </w:pPr>
      <w:r>
        <w:rPr>
          <w:rFonts w:hint="default"/>
        </w:rPr>
        <w:t>过程测量指标</w:t>
      </w:r>
    </w:p>
    <w:p w14:paraId="736AD177">
      <w:pPr>
        <w:pStyle w:val="29"/>
        <w:rPr>
          <w:rFonts w:hint="eastAsia"/>
          <w:lang w:val="en-US" w:eastAsia="zh-CN"/>
        </w:rPr>
      </w:pPr>
      <w:r>
        <w:rPr>
          <w:rFonts w:hint="eastAsia"/>
          <w:lang w:val="en-US" w:eastAsia="zh-CN"/>
        </w:rPr>
        <w:t>信息安全管理考核标准如表4-2所示</w:t>
      </w:r>
    </w:p>
    <w:p w14:paraId="61DD356B">
      <w:pPr>
        <w:pStyle w:val="29"/>
        <w:ind w:left="0" w:leftChars="0" w:right="0" w:rightChars="0" w:firstLine="0" w:firstLineChars="0"/>
        <w:jc w:val="center"/>
        <w:rPr>
          <w:rFonts w:hint="eastAsia"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rPr>
        <w:t>过程测量指标</w:t>
      </w:r>
      <w:r>
        <w:rPr>
          <w:rFonts w:hint="eastAsia"/>
          <w:lang w:val="en-US" w:eastAsia="zh-CN"/>
        </w:rPr>
        <w:t>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1705"/>
        <w:gridCol w:w="3771"/>
        <w:gridCol w:w="1107"/>
        <w:gridCol w:w="1094"/>
      </w:tblGrid>
      <w:tr w14:paraId="0DF3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0F3BE43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1705" w:type="dxa"/>
          </w:tcPr>
          <w:p w14:paraId="28F79B2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771" w:type="dxa"/>
          </w:tcPr>
          <w:p w14:paraId="66256F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313D7B5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7583A6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0F5B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13B0B5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705" w:type="dxa"/>
          </w:tcPr>
          <w:p w14:paraId="1E841C6E">
            <w:pPr>
              <w:pStyle w:val="29"/>
              <w:widowControl w:val="0"/>
              <w:ind w:left="0" w:leftChars="0" w:firstLine="0" w:firstLineChars="0"/>
              <w:jc w:val="left"/>
              <w:rPr>
                <w:rFonts w:hint="default" w:eastAsia="宋体"/>
                <w:sz w:val="21"/>
                <w:szCs w:val="21"/>
                <w:vertAlign w:val="baseline"/>
                <w:lang w:val="en-US" w:eastAsia="zh-CN"/>
              </w:rPr>
            </w:pPr>
            <w:r>
              <w:rPr>
                <w:rFonts w:hint="eastAsia"/>
                <w:sz w:val="21"/>
                <w:szCs w:val="21"/>
                <w:vertAlign w:val="baseline"/>
                <w:lang w:val="en-US" w:eastAsia="zh-CN"/>
              </w:rPr>
              <w:t>信息泄露次数</w:t>
            </w:r>
          </w:p>
        </w:tc>
        <w:tc>
          <w:tcPr>
            <w:tcW w:w="3771" w:type="dxa"/>
          </w:tcPr>
          <w:p w14:paraId="3F68233D">
            <w:pPr>
              <w:pStyle w:val="29"/>
              <w:widowControl w:val="0"/>
              <w:ind w:left="0" w:leftChars="0" w:firstLine="0" w:firstLineChars="0"/>
              <w:jc w:val="left"/>
              <w:rPr>
                <w:rFonts w:hint="default" w:eastAsia="宋体"/>
                <w:sz w:val="21"/>
                <w:szCs w:val="21"/>
                <w:vertAlign w:val="baseline"/>
                <w:lang w:val="en-US" w:eastAsia="zh-CN"/>
              </w:rPr>
            </w:pPr>
            <w:r>
              <w:rPr>
                <w:rFonts w:hint="eastAsia" w:ascii="Segoe UI" w:hAnsi="Segoe UI" w:eastAsia="宋体" w:cs="Segoe UI"/>
                <w:i w:val="0"/>
                <w:iCs w:val="0"/>
                <w:caps w:val="0"/>
                <w:color w:val="0F1115"/>
                <w:spacing w:val="0"/>
                <w:sz w:val="19"/>
                <w:szCs w:val="19"/>
                <w:shd w:val="clear" w:fill="FFFFFF"/>
                <w:lang w:val="en-US" w:eastAsia="zh-CN"/>
              </w:rPr>
              <w:t>客户信息泄露的事件次数</w:t>
            </w:r>
          </w:p>
        </w:tc>
        <w:tc>
          <w:tcPr>
            <w:tcW w:w="1107" w:type="dxa"/>
          </w:tcPr>
          <w:p w14:paraId="2FCE6EE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14:paraId="55CD9B7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≤2次</w:t>
            </w:r>
            <w:bookmarkStart w:id="16" w:name="_GoBack"/>
            <w:bookmarkEnd w:id="16"/>
          </w:p>
        </w:tc>
      </w:tr>
    </w:tbl>
    <w:p w14:paraId="103D961D">
      <w:pPr>
        <w:pStyle w:val="29"/>
        <w:rPr>
          <w:rFonts w:hint="default"/>
          <w:lang w:val="en-US" w:eastAsia="zh-CN"/>
        </w:rPr>
      </w:pPr>
    </w:p>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10" w:name="bookmark3"/>
      <w:bookmarkEnd w:id="10"/>
      <w:bookmarkStart w:id="11" w:name="_Toc26732"/>
      <w:bookmarkStart w:id="12" w:name="_Toc17424"/>
      <w:r>
        <w:rPr>
          <w:rStyle w:val="38"/>
          <w:rFonts w:hint="eastAsia" w:eastAsia="宋体"/>
          <w:lang w:val="en-US" w:eastAsia="zh-CN"/>
        </w:rPr>
        <w:t>附则</w:t>
      </w:r>
      <w:bookmarkEnd w:id="11"/>
      <w:bookmarkEnd w:id="12"/>
    </w:p>
    <w:p w14:paraId="282C941D">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412FC6">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bookmark14"/>
      <w:bookmarkEnd w:id="13"/>
      <w:bookmarkStart w:id="14" w:name="_Toc3387"/>
      <w:r>
        <w:rPr>
          <w:rFonts w:hint="eastAsia"/>
          <w:lang w:val="en-US" w:eastAsia="zh-CN"/>
        </w:rPr>
        <w:t>附件</w:t>
      </w:r>
      <w:bookmarkEnd w:id="14"/>
    </w:p>
    <w:p w14:paraId="452480E0">
      <w:pPr>
        <w:pStyle w:val="29"/>
        <w:numPr>
          <w:ilvl w:val="0"/>
          <w:numId w:val="8"/>
        </w:numPr>
        <w:ind w:left="425" w:leftChars="0" w:hanging="425" w:firstLineChars="0"/>
        <w:rPr>
          <w:rFonts w:hint="default"/>
          <w:lang w:val="en-US" w:eastAsia="zh-CN"/>
        </w:rPr>
      </w:pPr>
      <w:r>
        <w:rPr>
          <w:rFonts w:hint="default"/>
          <w:lang w:val="en-US" w:eastAsia="zh-CN"/>
        </w:rPr>
        <w:t>《资产分类表》</w:t>
      </w:r>
    </w:p>
    <w:p w14:paraId="576EC89A">
      <w:pPr>
        <w:pStyle w:val="29"/>
        <w:numPr>
          <w:ilvl w:val="0"/>
          <w:numId w:val="8"/>
        </w:numPr>
        <w:ind w:left="425" w:leftChars="0" w:hanging="425" w:firstLineChars="0"/>
        <w:rPr>
          <w:rFonts w:hint="default"/>
          <w:lang w:val="en-US" w:eastAsia="zh-CN"/>
        </w:rPr>
      </w:pPr>
      <w:r>
        <w:rPr>
          <w:rFonts w:hint="default"/>
          <w:lang w:val="en-US" w:eastAsia="zh-CN"/>
        </w:rPr>
        <w:t>《关键资产风险评估及控制表》</w:t>
      </w:r>
    </w:p>
    <w:p w14:paraId="0EEF1375">
      <w:pPr>
        <w:pStyle w:val="29"/>
        <w:numPr>
          <w:ilvl w:val="0"/>
          <w:numId w:val="8"/>
        </w:numPr>
        <w:ind w:left="425" w:leftChars="0" w:hanging="425" w:firstLineChars="0"/>
        <w:rPr>
          <w:rFonts w:hint="default"/>
          <w:lang w:val="en-US" w:eastAsia="zh-CN"/>
        </w:rPr>
      </w:pPr>
      <w:r>
        <w:rPr>
          <w:rFonts w:hint="default"/>
          <w:lang w:val="en-US" w:eastAsia="zh-CN"/>
        </w:rPr>
        <w:t>《信息安全事件统计表》</w:t>
      </w:r>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5" w:name="_Toc16438"/>
      <w:r>
        <w:rPr>
          <w:rFonts w:hint="eastAsia"/>
          <w:lang w:val="en-US" w:eastAsia="zh-CN"/>
        </w:rPr>
        <w:t>记录</w:t>
      </w:r>
      <w:bookmarkEnd w:id="15"/>
    </w:p>
    <w:p w14:paraId="05F117FD">
      <w:pPr>
        <w:pStyle w:val="29"/>
        <w:rPr>
          <w:rFonts w:hint="eastAsia"/>
          <w:lang w:val="en-US" w:eastAsia="zh-CN"/>
        </w:rPr>
      </w:pPr>
      <w:r>
        <w:rPr>
          <w:rFonts w:hint="eastAsia"/>
          <w:lang w:val="en-US" w:eastAsia="zh-CN"/>
        </w:rPr>
        <w:t>信息安全管理制度运行过程中产生的所有记录，包括但不限于风险评估表、事件统计表、审计报告等，应由运维部统一保存，保存期限不少于3年。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6F270B8"/>
    <w:multiLevelType w:val="singleLevel"/>
    <w:tmpl w:val="A6F270B8"/>
    <w:lvl w:ilvl="0" w:tentative="0">
      <w:start w:val="1"/>
      <w:numFmt w:val="decimal"/>
      <w:lvlText w:val="%1."/>
      <w:lvlJc w:val="left"/>
      <w:pPr>
        <w:ind w:left="425" w:hanging="425"/>
      </w:pPr>
      <w:rPr>
        <w:rFonts w:hint="default"/>
      </w:rPr>
    </w:lvl>
  </w:abstractNum>
  <w:abstractNum w:abstractNumId="2">
    <w:nsid w:val="BE59BEF0"/>
    <w:multiLevelType w:val="singleLevel"/>
    <w:tmpl w:val="BE59BEF0"/>
    <w:lvl w:ilvl="0" w:tentative="0">
      <w:start w:val="1"/>
      <w:numFmt w:val="decimal"/>
      <w:lvlText w:val="%1."/>
      <w:lvlJc w:val="left"/>
      <w:pPr>
        <w:ind w:left="425" w:hanging="425"/>
      </w:pPr>
      <w:rPr>
        <w:rFonts w:hint="default"/>
      </w:rPr>
    </w:lvl>
  </w:abstractNum>
  <w:abstractNum w:abstractNumId="3">
    <w:nsid w:val="D4C2FEC3"/>
    <w:multiLevelType w:val="singleLevel"/>
    <w:tmpl w:val="D4C2FEC3"/>
    <w:lvl w:ilvl="0" w:tentative="0">
      <w:start w:val="1"/>
      <w:numFmt w:val="decimal"/>
      <w:lvlText w:val="%1."/>
      <w:lvlJc w:val="left"/>
      <w:pPr>
        <w:ind w:left="425" w:hanging="425"/>
      </w:pPr>
      <w:rPr>
        <w:rFonts w:hint="default"/>
      </w:rPr>
    </w:lvl>
  </w:abstractNum>
  <w:abstractNum w:abstractNumId="4">
    <w:nsid w:val="EA0F4E69"/>
    <w:multiLevelType w:val="singleLevel"/>
    <w:tmpl w:val="EA0F4E69"/>
    <w:lvl w:ilvl="0" w:tentative="0">
      <w:start w:val="1"/>
      <w:numFmt w:val="decimal"/>
      <w:lvlText w:val="%1."/>
      <w:lvlJc w:val="left"/>
      <w:pPr>
        <w:ind w:left="425" w:hanging="425"/>
      </w:pPr>
      <w:rPr>
        <w:rFonts w:hint="default"/>
      </w:rPr>
    </w:lvl>
  </w:abstractNum>
  <w:abstractNum w:abstractNumId="5">
    <w:nsid w:val="F67A92D8"/>
    <w:multiLevelType w:val="singleLevel"/>
    <w:tmpl w:val="F67A92D8"/>
    <w:lvl w:ilvl="0" w:tentative="0">
      <w:start w:val="1"/>
      <w:numFmt w:val="decimal"/>
      <w:lvlText w:val="%1."/>
      <w:lvlJc w:val="left"/>
      <w:pPr>
        <w:ind w:left="425" w:hanging="425"/>
      </w:pPr>
      <w:rPr>
        <w:rFonts w:hint="default"/>
      </w:rPr>
    </w:lvl>
  </w:abstractNum>
  <w:abstractNum w:abstractNumId="6">
    <w:nsid w:val="F9539CF3"/>
    <w:multiLevelType w:val="singleLevel"/>
    <w:tmpl w:val="F9539CF3"/>
    <w:lvl w:ilvl="0" w:tentative="0">
      <w:start w:val="1"/>
      <w:numFmt w:val="decimal"/>
      <w:lvlText w:val="%1."/>
      <w:lvlJc w:val="left"/>
      <w:pPr>
        <w:ind w:left="425" w:hanging="425"/>
      </w:pPr>
      <w:rPr>
        <w:rFonts w:hint="default"/>
      </w:rPr>
    </w:lvl>
  </w:abstractNum>
  <w:abstractNum w:abstractNumId="7">
    <w:nsid w:val="2347B199"/>
    <w:multiLevelType w:val="singleLevel"/>
    <w:tmpl w:val="2347B199"/>
    <w:lvl w:ilvl="0" w:tentative="0">
      <w:start w:val="1"/>
      <w:numFmt w:val="decimal"/>
      <w:lvlText w:val="%1."/>
      <w:lvlJc w:val="left"/>
      <w:pPr>
        <w:ind w:left="425" w:hanging="425"/>
      </w:pPr>
      <w:rPr>
        <w:rFonts w:hint="default"/>
      </w:rPr>
    </w:lvl>
  </w:abstractNum>
  <w:num w:numId="1">
    <w:abstractNumId w:val="0"/>
  </w:num>
  <w:num w:numId="2">
    <w:abstractNumId w:val="7"/>
  </w:num>
  <w:num w:numId="3">
    <w:abstractNumId w:val="3"/>
  </w:num>
  <w:num w:numId="4">
    <w:abstractNumId w:val="1"/>
  </w:num>
  <w:num w:numId="5">
    <w:abstractNumId w:val="2"/>
  </w:num>
  <w:num w:numId="6">
    <w:abstractNumId w:val="5"/>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0920750"/>
    <w:rsid w:val="0104303E"/>
    <w:rsid w:val="01E07299"/>
    <w:rsid w:val="0211124F"/>
    <w:rsid w:val="029C58B6"/>
    <w:rsid w:val="02CE3596"/>
    <w:rsid w:val="02EA4873"/>
    <w:rsid w:val="038735D7"/>
    <w:rsid w:val="040604A9"/>
    <w:rsid w:val="05980692"/>
    <w:rsid w:val="05AD1B88"/>
    <w:rsid w:val="05ED6429"/>
    <w:rsid w:val="073D05DE"/>
    <w:rsid w:val="07660A33"/>
    <w:rsid w:val="07A52007"/>
    <w:rsid w:val="080D4B60"/>
    <w:rsid w:val="09975029"/>
    <w:rsid w:val="09BB68FD"/>
    <w:rsid w:val="09D65B51"/>
    <w:rsid w:val="09F2400E"/>
    <w:rsid w:val="09FC6C3A"/>
    <w:rsid w:val="0CCF4ADA"/>
    <w:rsid w:val="0CF12BAD"/>
    <w:rsid w:val="0D27163B"/>
    <w:rsid w:val="0E5A03D3"/>
    <w:rsid w:val="0E947D89"/>
    <w:rsid w:val="0F4F57A4"/>
    <w:rsid w:val="0FD115EF"/>
    <w:rsid w:val="127C6B6A"/>
    <w:rsid w:val="130628D8"/>
    <w:rsid w:val="131B2827"/>
    <w:rsid w:val="139879D4"/>
    <w:rsid w:val="139A6783"/>
    <w:rsid w:val="13D604FC"/>
    <w:rsid w:val="143C4803"/>
    <w:rsid w:val="14B42767"/>
    <w:rsid w:val="15CC7E09"/>
    <w:rsid w:val="15EC2259"/>
    <w:rsid w:val="15F64E85"/>
    <w:rsid w:val="16B0772A"/>
    <w:rsid w:val="170D06D9"/>
    <w:rsid w:val="17103D25"/>
    <w:rsid w:val="17710C68"/>
    <w:rsid w:val="17BE19D3"/>
    <w:rsid w:val="17DF25E3"/>
    <w:rsid w:val="18846779"/>
    <w:rsid w:val="18F465E3"/>
    <w:rsid w:val="19E020D4"/>
    <w:rsid w:val="1A9923D9"/>
    <w:rsid w:val="1BC709D8"/>
    <w:rsid w:val="1C393D1E"/>
    <w:rsid w:val="1D997E65"/>
    <w:rsid w:val="1E692834"/>
    <w:rsid w:val="1E850CE8"/>
    <w:rsid w:val="1EE61F3B"/>
    <w:rsid w:val="1EFD1033"/>
    <w:rsid w:val="1FCB1131"/>
    <w:rsid w:val="20D91840"/>
    <w:rsid w:val="215C6FE4"/>
    <w:rsid w:val="23A26E72"/>
    <w:rsid w:val="23DD436C"/>
    <w:rsid w:val="23FD59BD"/>
    <w:rsid w:val="251A0812"/>
    <w:rsid w:val="26213859"/>
    <w:rsid w:val="26C427F2"/>
    <w:rsid w:val="2908648D"/>
    <w:rsid w:val="294F2DD3"/>
    <w:rsid w:val="2975663E"/>
    <w:rsid w:val="2A1D34C9"/>
    <w:rsid w:val="2A8B6C6D"/>
    <w:rsid w:val="2B612949"/>
    <w:rsid w:val="2BFE70A9"/>
    <w:rsid w:val="2D6A0FCD"/>
    <w:rsid w:val="2E500F2E"/>
    <w:rsid w:val="2E8D23D3"/>
    <w:rsid w:val="2F041F69"/>
    <w:rsid w:val="2FC11C09"/>
    <w:rsid w:val="302D4354"/>
    <w:rsid w:val="302F3016"/>
    <w:rsid w:val="33291F9F"/>
    <w:rsid w:val="333746BC"/>
    <w:rsid w:val="346C0F8D"/>
    <w:rsid w:val="350D601C"/>
    <w:rsid w:val="35DE67BA"/>
    <w:rsid w:val="36883480"/>
    <w:rsid w:val="36914A2B"/>
    <w:rsid w:val="3699743B"/>
    <w:rsid w:val="3747333B"/>
    <w:rsid w:val="375F2433"/>
    <w:rsid w:val="37971BCD"/>
    <w:rsid w:val="37A95DA4"/>
    <w:rsid w:val="37C4140A"/>
    <w:rsid w:val="37DF17C6"/>
    <w:rsid w:val="37E666B0"/>
    <w:rsid w:val="3914549F"/>
    <w:rsid w:val="3A846755"/>
    <w:rsid w:val="3C265C15"/>
    <w:rsid w:val="3C5F6A31"/>
    <w:rsid w:val="3D5F4115"/>
    <w:rsid w:val="3D793B23"/>
    <w:rsid w:val="3E287A22"/>
    <w:rsid w:val="3E5A3954"/>
    <w:rsid w:val="3E784DEA"/>
    <w:rsid w:val="3F2D1069"/>
    <w:rsid w:val="3F2D2E17"/>
    <w:rsid w:val="40477F08"/>
    <w:rsid w:val="40646D0C"/>
    <w:rsid w:val="40873B7A"/>
    <w:rsid w:val="40B11D0C"/>
    <w:rsid w:val="41DA54D8"/>
    <w:rsid w:val="421B4E6F"/>
    <w:rsid w:val="426164FC"/>
    <w:rsid w:val="43223C0F"/>
    <w:rsid w:val="4368266F"/>
    <w:rsid w:val="43996CCD"/>
    <w:rsid w:val="44AE49FA"/>
    <w:rsid w:val="45EE5265"/>
    <w:rsid w:val="46A460B4"/>
    <w:rsid w:val="46BF2EEE"/>
    <w:rsid w:val="472B0583"/>
    <w:rsid w:val="47BB1907"/>
    <w:rsid w:val="484F2050"/>
    <w:rsid w:val="48FA020D"/>
    <w:rsid w:val="49B27247"/>
    <w:rsid w:val="49B33C44"/>
    <w:rsid w:val="49CC1B61"/>
    <w:rsid w:val="4A33326E"/>
    <w:rsid w:val="4BFB76A0"/>
    <w:rsid w:val="4D1711C1"/>
    <w:rsid w:val="4E0B149B"/>
    <w:rsid w:val="4F6F1974"/>
    <w:rsid w:val="503F29AA"/>
    <w:rsid w:val="508036EE"/>
    <w:rsid w:val="50845C1D"/>
    <w:rsid w:val="50BE0A71"/>
    <w:rsid w:val="511C5981"/>
    <w:rsid w:val="51F0261E"/>
    <w:rsid w:val="53CA4C80"/>
    <w:rsid w:val="54501629"/>
    <w:rsid w:val="5486504B"/>
    <w:rsid w:val="54CB7E3C"/>
    <w:rsid w:val="552F7491"/>
    <w:rsid w:val="55855303"/>
    <w:rsid w:val="55985036"/>
    <w:rsid w:val="55C827EC"/>
    <w:rsid w:val="5632548A"/>
    <w:rsid w:val="57914433"/>
    <w:rsid w:val="584B2834"/>
    <w:rsid w:val="58675193"/>
    <w:rsid w:val="58776E74"/>
    <w:rsid w:val="58D937BD"/>
    <w:rsid w:val="59C81C62"/>
    <w:rsid w:val="59D2561F"/>
    <w:rsid w:val="59FD190B"/>
    <w:rsid w:val="5A6610C0"/>
    <w:rsid w:val="5A9A35FE"/>
    <w:rsid w:val="5B0B0058"/>
    <w:rsid w:val="5B85605C"/>
    <w:rsid w:val="5B9357AB"/>
    <w:rsid w:val="5C3830CF"/>
    <w:rsid w:val="5D0D6A04"/>
    <w:rsid w:val="5D2E6280"/>
    <w:rsid w:val="5D6677C8"/>
    <w:rsid w:val="5E6A32E8"/>
    <w:rsid w:val="5EF534F9"/>
    <w:rsid w:val="5EFB71CC"/>
    <w:rsid w:val="5F2003BF"/>
    <w:rsid w:val="5F2B4C59"/>
    <w:rsid w:val="5F3A04A9"/>
    <w:rsid w:val="5F7F1015"/>
    <w:rsid w:val="613E7799"/>
    <w:rsid w:val="6200643D"/>
    <w:rsid w:val="622F287E"/>
    <w:rsid w:val="62312EF8"/>
    <w:rsid w:val="62B611F1"/>
    <w:rsid w:val="63822E81"/>
    <w:rsid w:val="640721AA"/>
    <w:rsid w:val="652A5B5F"/>
    <w:rsid w:val="657F3B1C"/>
    <w:rsid w:val="659C092C"/>
    <w:rsid w:val="65C43C25"/>
    <w:rsid w:val="678C0773"/>
    <w:rsid w:val="68804644"/>
    <w:rsid w:val="698F3ABF"/>
    <w:rsid w:val="69DB53BE"/>
    <w:rsid w:val="6BAD2A66"/>
    <w:rsid w:val="6BF30DC0"/>
    <w:rsid w:val="6C296792"/>
    <w:rsid w:val="6CFF5543"/>
    <w:rsid w:val="6D834437"/>
    <w:rsid w:val="6DB46CBB"/>
    <w:rsid w:val="6E6623CD"/>
    <w:rsid w:val="6F887A72"/>
    <w:rsid w:val="711772FF"/>
    <w:rsid w:val="713003C1"/>
    <w:rsid w:val="7141437C"/>
    <w:rsid w:val="722877C7"/>
    <w:rsid w:val="722C0B88"/>
    <w:rsid w:val="72C9287B"/>
    <w:rsid w:val="73593BFF"/>
    <w:rsid w:val="73644352"/>
    <w:rsid w:val="73C7661F"/>
    <w:rsid w:val="76116A13"/>
    <w:rsid w:val="763E532E"/>
    <w:rsid w:val="76960176"/>
    <w:rsid w:val="76F6721A"/>
    <w:rsid w:val="776C1A27"/>
    <w:rsid w:val="77813724"/>
    <w:rsid w:val="77AE3DED"/>
    <w:rsid w:val="77EB7DB5"/>
    <w:rsid w:val="783E1615"/>
    <w:rsid w:val="78CA2EA9"/>
    <w:rsid w:val="78D1021F"/>
    <w:rsid w:val="78DB50B6"/>
    <w:rsid w:val="7A1940E8"/>
    <w:rsid w:val="7A2F7467"/>
    <w:rsid w:val="7B4E6013"/>
    <w:rsid w:val="7B5C70B9"/>
    <w:rsid w:val="7B9C219B"/>
    <w:rsid w:val="7C066719"/>
    <w:rsid w:val="7C434C07"/>
    <w:rsid w:val="7D0C7F34"/>
    <w:rsid w:val="7DA168CE"/>
    <w:rsid w:val="7DF905A7"/>
    <w:rsid w:val="7E086FD3"/>
    <w:rsid w:val="7F8244DD"/>
    <w:rsid w:val="7F9B10FB"/>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231</Words>
  <Characters>305</Characters>
  <Lines>0</Lines>
  <Paragraphs>0</Paragraphs>
  <TotalTime>4</TotalTime>
  <ScaleCrop>false</ScaleCrop>
  <LinksUpToDate>false</LinksUpToDate>
  <CharactersWithSpaces>329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2025-10-21T20:47:53Z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