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6FA79">
      <w:pPr>
        <w:pStyle w:val="24"/>
        <w:keepNext w:val="0"/>
        <w:keepLines w:val="0"/>
        <w:pageBreakBefore w:val="0"/>
        <w:widowControl w:val="0"/>
        <w:kinsoku w:val="0"/>
        <w:wordWrap/>
        <w:overflowPunct/>
        <w:topLinePunct w:val="0"/>
        <w:autoSpaceDE w:val="0"/>
        <w:autoSpaceDN w:val="0"/>
        <w:bidi w:val="0"/>
        <w:adjustRightInd w:val="0"/>
        <w:snapToGrid w:val="0"/>
        <w:spacing w:before="3121" w:beforeLines="1000"/>
        <w:textAlignment w:val="baseline"/>
      </w:pPr>
      <w:bookmarkStart w:id="0" w:name="_Toc6259"/>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7">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阿克苏智汇人才服务有限</w:t>
      </w:r>
      <w:r>
        <w:t>公司</w:t>
      </w:r>
      <w:bookmarkEnd w:id="0"/>
    </w:p>
    <w:p w14:paraId="1CA859AD">
      <w:pPr>
        <w:pStyle w:val="25"/>
        <w:keepNext w:val="0"/>
        <w:keepLines w:val="0"/>
        <w:pageBreakBefore w:val="0"/>
        <w:widowControl w:val="0"/>
        <w:kinsoku w:val="0"/>
        <w:wordWrap/>
        <w:overflowPunct/>
        <w:topLinePunct w:val="0"/>
        <w:autoSpaceDE w:val="0"/>
        <w:autoSpaceDN w:val="0"/>
        <w:bidi w:val="0"/>
        <w:adjustRightInd w:val="0"/>
        <w:snapToGrid w:val="0"/>
        <w:spacing w:before="0" w:after="625" w:afterLines="200"/>
        <w:textAlignment w:val="baseline"/>
        <w:rPr>
          <w:rFonts w:hint="eastAsia"/>
          <w:lang w:val="en-US" w:eastAsia="zh-CN"/>
        </w:rPr>
      </w:pPr>
      <w:bookmarkStart w:id="1" w:name="_Toc26926"/>
      <w:r>
        <w:rPr>
          <w:rFonts w:hint="eastAsia"/>
          <w:lang w:val="en-US" w:eastAsia="zh-CN"/>
        </w:rPr>
        <w:t>备件库管理制度</w:t>
      </w:r>
      <w:bookmarkEnd w:id="1"/>
    </w:p>
    <w:p w14:paraId="5C99E7F3">
      <w:pPr>
        <w:keepNext w:val="0"/>
        <w:keepLines w:val="0"/>
        <w:pageBreakBefore w:val="0"/>
        <w:widowControl w:val="0"/>
        <w:kinsoku w:val="0"/>
        <w:wordWrap/>
        <w:overflowPunct/>
        <w:topLinePunct w:val="0"/>
        <w:autoSpaceDE w:val="0"/>
        <w:autoSpaceDN w:val="0"/>
        <w:bidi w:val="0"/>
        <w:adjustRightInd w:val="0"/>
        <w:snapToGrid w:val="0"/>
        <w:spacing w:after="625"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ZHRC</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3</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2161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7F44E0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527A687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5E046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740D4D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fitText w:val="840" w:id="1984234543"/>
                <w:vertAlign w:val="baseline"/>
                <w:lang w:val="en-US" w:eastAsia="zh-CN"/>
              </w:rPr>
              <w:t>版</w:t>
            </w:r>
            <w:r>
              <w:rPr>
                <w:rFonts w:hint="eastAsia"/>
                <w:spacing w:val="0"/>
                <w:kern w:val="0"/>
                <w:fitText w:val="840" w:id="1984234543"/>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fitText w:val="630" w:id="1331981115"/>
                <w:vertAlign w:val="baseline"/>
                <w:lang w:val="en-US" w:eastAsia="zh-CN"/>
              </w:rPr>
              <w:t>V1.</w:t>
            </w:r>
            <w:r>
              <w:rPr>
                <w:rFonts w:hint="eastAsia"/>
                <w:spacing w:val="0"/>
                <w:kern w:val="0"/>
                <w:u w:val="single"/>
                <w:fitText w:val="630" w:id="1331981115"/>
                <w:vertAlign w:val="baseline"/>
                <w:lang w:val="en-US" w:eastAsia="zh-CN"/>
              </w:rPr>
              <w:t>0</w:t>
            </w:r>
          </w:p>
        </w:tc>
        <w:tc>
          <w:tcPr>
            <w:tcW w:w="2708" w:type="dxa"/>
            <w:shd w:val="clear" w:color="auto" w:fill="auto"/>
          </w:tcPr>
          <w:p w14:paraId="36398C7E">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40129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A92757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fitText w:val="840" w:id="722747876"/>
                <w:vertAlign w:val="baseline"/>
                <w:lang w:val="en-US" w:eastAsia="zh-CN"/>
              </w:rPr>
              <w:t>批准</w:t>
            </w:r>
            <w:r>
              <w:rPr>
                <w:rFonts w:hint="eastAsia"/>
                <w:spacing w:val="1"/>
                <w:kern w:val="0"/>
                <w:fitText w:val="840" w:id="722747876"/>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asciiTheme="minorAscii" w:hAnsiTheme="minorAscii" w:eastAsiaTheme="minorEastAsia"/>
                <w:spacing w:val="105"/>
                <w:kern w:val="0"/>
                <w:sz w:val="21"/>
                <w:u w:val="single"/>
                <w:fitText w:val="630" w:id="676873217"/>
                <w:vertAlign w:val="baseline"/>
                <w:lang w:val="en-US" w:eastAsia="zh-CN"/>
              </w:rPr>
              <w:t>任</w:t>
            </w:r>
            <w:r>
              <w:rPr>
                <w:rFonts w:hint="eastAsia" w:asciiTheme="minorAscii" w:hAnsiTheme="minorAscii" w:eastAsiaTheme="minorEastAsia"/>
                <w:spacing w:val="0"/>
                <w:kern w:val="0"/>
                <w:sz w:val="21"/>
                <w:u w:val="single"/>
                <w:fitText w:val="630" w:id="676873217"/>
                <w:vertAlign w:val="baseline"/>
                <w:lang w:val="en-US" w:eastAsia="zh-CN"/>
              </w:rPr>
              <w:t>鸿</w:t>
            </w:r>
          </w:p>
        </w:tc>
        <w:tc>
          <w:tcPr>
            <w:tcW w:w="2708" w:type="dxa"/>
          </w:tcPr>
          <w:p w14:paraId="370F750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bl>
    <w:p w14:paraId="1DEAC454">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36153578">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6544A0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4FB3B2CA">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78067E3">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D1CA80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C6967C0">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31C0F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2EE12DAC">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4</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19" w:type="dxa"/>
          </w:tcPr>
          <w:p w14:paraId="10AEB2A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292F328">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3AD957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105"/>
                <w:kern w:val="0"/>
                <w:sz w:val="21"/>
                <w:fitText w:val="630" w:id="676873217"/>
                <w:vertAlign w:val="baseline"/>
                <w:lang w:val="en-US" w:eastAsia="zh-CN"/>
              </w:rPr>
              <w:t>任</w:t>
            </w:r>
            <w:r>
              <w:rPr>
                <w:rFonts w:hint="eastAsia" w:asciiTheme="minorAscii" w:hAnsiTheme="minorAscii" w:eastAsiaTheme="minorEastAsia"/>
                <w:spacing w:val="0"/>
                <w:kern w:val="0"/>
                <w:sz w:val="21"/>
                <w:fitText w:val="630" w:id="676873217"/>
                <w:vertAlign w:val="baseline"/>
                <w:lang w:val="en-US" w:eastAsia="zh-CN"/>
              </w:rPr>
              <w:t>鸿</w:t>
            </w:r>
          </w:p>
        </w:tc>
      </w:tr>
      <w:tr w14:paraId="6E2096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05F4A44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2146625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2B88D56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F1492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5B855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3A84474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8C703F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970AE5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C73CE0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F7C35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750A30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7969F4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64D59CB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677625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38E27D40">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6A6F98F">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061A8A8F">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_Toc6259 </w:instrText>
          </w:r>
          <w:r>
            <w:rPr>
              <w:rFonts w:hint="eastAsia" w:ascii="宋体" w:hAnsi="宋体" w:eastAsia="宋体" w:cs="宋体"/>
              <w:szCs w:val="24"/>
            </w:rPr>
            <w:fldChar w:fldCharType="separate"/>
          </w:r>
          <w:r>
            <w:rPr>
              <w:rFonts w:hint="eastAsia"/>
              <w:lang w:val="en-US" w:eastAsia="zh-CN"/>
            </w:rPr>
            <w:t>阿克苏智汇人才服务有限</w:t>
          </w:r>
          <w:r>
            <w:t>公司</w:t>
          </w:r>
          <w:r>
            <w:tab/>
          </w:r>
          <w:r>
            <w:fldChar w:fldCharType="begin"/>
          </w:r>
          <w:r>
            <w:instrText xml:space="preserve"> PAGEREF _Toc6259 \h </w:instrText>
          </w:r>
          <w:r>
            <w:fldChar w:fldCharType="separate"/>
          </w:r>
          <w:r>
            <w:t>1</w:t>
          </w:r>
          <w:r>
            <w:fldChar w:fldCharType="end"/>
          </w:r>
          <w:r>
            <w:rPr>
              <w:rFonts w:hint="eastAsia" w:ascii="宋体" w:hAnsi="宋体" w:eastAsia="宋体" w:cs="宋体"/>
              <w:szCs w:val="24"/>
            </w:rPr>
            <w:fldChar w:fldCharType="end"/>
          </w:r>
        </w:p>
        <w:p w14:paraId="620A711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_Toc26926 </w:instrText>
          </w:r>
          <w:r>
            <w:rPr>
              <w:rFonts w:hint="eastAsia" w:ascii="宋体" w:hAnsi="宋体" w:eastAsia="宋体" w:cs="宋体"/>
              <w:szCs w:val="24"/>
            </w:rPr>
            <w:fldChar w:fldCharType="separate"/>
          </w:r>
          <w:r>
            <w:rPr>
              <w:rFonts w:hint="eastAsia"/>
              <w:lang w:val="en-US" w:eastAsia="zh-CN"/>
            </w:rPr>
            <w:t>备件库管理制度</w:t>
          </w:r>
          <w:r>
            <w:tab/>
          </w:r>
          <w:r>
            <w:fldChar w:fldCharType="begin"/>
          </w:r>
          <w:r>
            <w:instrText xml:space="preserve"> PAGEREF _Toc26926 \h </w:instrText>
          </w:r>
          <w:r>
            <w:fldChar w:fldCharType="separate"/>
          </w:r>
          <w:r>
            <w:t>1</w:t>
          </w:r>
          <w:r>
            <w:fldChar w:fldCharType="end"/>
          </w:r>
          <w:r>
            <w:rPr>
              <w:rFonts w:hint="eastAsia" w:ascii="宋体" w:hAnsi="宋体" w:eastAsia="宋体" w:cs="宋体"/>
              <w:szCs w:val="24"/>
            </w:rPr>
            <w:fldChar w:fldCharType="end"/>
          </w:r>
        </w:p>
        <w:p w14:paraId="6FEC690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_Toc22811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_Toc22811 \h </w:instrText>
          </w:r>
          <w:r>
            <w:fldChar w:fldCharType="separate"/>
          </w:r>
          <w:r>
            <w:t>4</w:t>
          </w:r>
          <w:r>
            <w:fldChar w:fldCharType="end"/>
          </w:r>
          <w:r>
            <w:rPr>
              <w:rFonts w:hint="eastAsia" w:ascii="宋体" w:hAnsi="宋体" w:eastAsia="宋体" w:cs="宋体"/>
              <w:szCs w:val="24"/>
            </w:rPr>
            <w:fldChar w:fldCharType="end"/>
          </w:r>
        </w:p>
        <w:p w14:paraId="7969CF8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_Toc22633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_Toc22633 \h </w:instrText>
          </w:r>
          <w:r>
            <w:fldChar w:fldCharType="separate"/>
          </w:r>
          <w:r>
            <w:t>4</w:t>
          </w:r>
          <w:r>
            <w:fldChar w:fldCharType="end"/>
          </w:r>
          <w:r>
            <w:rPr>
              <w:rFonts w:hint="eastAsia" w:ascii="宋体" w:hAnsi="宋体" w:eastAsia="宋体" w:cs="宋体"/>
              <w:szCs w:val="24"/>
            </w:rPr>
            <w:fldChar w:fldCharType="end"/>
          </w:r>
        </w:p>
        <w:p w14:paraId="7594DE4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_Toc19697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_Toc19697 \h </w:instrText>
          </w:r>
          <w:r>
            <w:fldChar w:fldCharType="separate"/>
          </w:r>
          <w:r>
            <w:t>4</w:t>
          </w:r>
          <w:r>
            <w:fldChar w:fldCharType="end"/>
          </w:r>
          <w:r>
            <w:rPr>
              <w:rFonts w:hint="eastAsia" w:ascii="宋体" w:hAnsi="宋体" w:eastAsia="宋体" w:cs="宋体"/>
              <w:szCs w:val="24"/>
            </w:rPr>
            <w:fldChar w:fldCharType="end"/>
          </w:r>
        </w:p>
        <w:p w14:paraId="2DE9340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_Toc14576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_Toc14576 \h </w:instrText>
          </w:r>
          <w:r>
            <w:fldChar w:fldCharType="separate"/>
          </w:r>
          <w:r>
            <w:t>4</w:t>
          </w:r>
          <w:r>
            <w:fldChar w:fldCharType="end"/>
          </w:r>
          <w:r>
            <w:rPr>
              <w:rFonts w:hint="eastAsia" w:ascii="宋体" w:hAnsi="宋体" w:eastAsia="宋体" w:cs="宋体"/>
              <w:szCs w:val="24"/>
            </w:rPr>
            <w:fldChar w:fldCharType="end"/>
          </w:r>
        </w:p>
        <w:p w14:paraId="35EEC4A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_Toc30050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_Toc30050 \h </w:instrText>
          </w:r>
          <w:r>
            <w:fldChar w:fldCharType="separate"/>
          </w:r>
          <w:r>
            <w:t>4</w:t>
          </w:r>
          <w:r>
            <w:fldChar w:fldCharType="end"/>
          </w:r>
          <w:r>
            <w:rPr>
              <w:rFonts w:hint="eastAsia" w:ascii="宋体" w:hAnsi="宋体" w:eastAsia="宋体" w:cs="宋体"/>
              <w:szCs w:val="24"/>
            </w:rPr>
            <w:fldChar w:fldCharType="end"/>
          </w:r>
        </w:p>
        <w:p w14:paraId="60847EB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_Toc26415 </w:instrText>
          </w:r>
          <w:r>
            <w:rPr>
              <w:rFonts w:hint="eastAsia" w:ascii="宋体" w:hAnsi="宋体" w:eastAsia="宋体" w:cs="宋体"/>
              <w:szCs w:val="24"/>
            </w:rPr>
            <w:fldChar w:fldCharType="separate"/>
          </w:r>
          <w:r>
            <w:rPr>
              <w:rFonts w:hint="default"/>
              <w:lang w:val="en-US" w:eastAsia="zh-CN"/>
            </w:rPr>
            <w:t xml:space="preserve">1.5. </w:t>
          </w:r>
          <w:r>
            <w:rPr>
              <w:rFonts w:hint="eastAsia"/>
              <w:lang w:val="en-US" w:eastAsia="zh-CN"/>
            </w:rPr>
            <w:t>备品备件</w:t>
          </w:r>
          <w:r>
            <w:rPr>
              <w:rFonts w:hint="default"/>
              <w:lang w:val="en-US" w:eastAsia="zh-CN"/>
            </w:rPr>
            <w:t>管理员</w:t>
          </w:r>
          <w:r>
            <w:tab/>
          </w:r>
          <w:r>
            <w:fldChar w:fldCharType="begin"/>
          </w:r>
          <w:r>
            <w:instrText xml:space="preserve"> PAGEREF _Toc26415 \h </w:instrText>
          </w:r>
          <w:r>
            <w:fldChar w:fldCharType="separate"/>
          </w:r>
          <w:r>
            <w:t>4</w:t>
          </w:r>
          <w:r>
            <w:fldChar w:fldCharType="end"/>
          </w:r>
          <w:r>
            <w:rPr>
              <w:rFonts w:hint="eastAsia" w:ascii="宋体" w:hAnsi="宋体" w:eastAsia="宋体" w:cs="宋体"/>
              <w:szCs w:val="24"/>
            </w:rPr>
            <w:fldChar w:fldCharType="end"/>
          </w:r>
        </w:p>
        <w:p w14:paraId="09B060E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_Toc25362 </w:instrText>
          </w:r>
          <w:r>
            <w:rPr>
              <w:rFonts w:hint="eastAsia" w:ascii="宋体" w:hAnsi="宋体" w:eastAsia="宋体" w:cs="宋体"/>
              <w:szCs w:val="24"/>
            </w:rPr>
            <w:fldChar w:fldCharType="separate"/>
          </w:r>
          <w:r>
            <w:rPr>
              <w:rFonts w:hint="default"/>
              <w:lang w:val="en-US" w:eastAsia="zh-CN"/>
            </w:rPr>
            <w:t xml:space="preserve">1.6. </w:t>
          </w:r>
          <w:r>
            <w:rPr>
              <w:rFonts w:hint="eastAsia"/>
              <w:lang w:val="en-US" w:eastAsia="zh-CN"/>
            </w:rPr>
            <w:t>采购专员</w:t>
          </w:r>
          <w:r>
            <w:tab/>
          </w:r>
          <w:r>
            <w:fldChar w:fldCharType="begin"/>
          </w:r>
          <w:r>
            <w:instrText xml:space="preserve"> PAGEREF _Toc25362 \h </w:instrText>
          </w:r>
          <w:r>
            <w:fldChar w:fldCharType="separate"/>
          </w:r>
          <w:r>
            <w:t>5</w:t>
          </w:r>
          <w:r>
            <w:fldChar w:fldCharType="end"/>
          </w:r>
          <w:r>
            <w:rPr>
              <w:rFonts w:hint="eastAsia" w:ascii="宋体" w:hAnsi="宋体" w:eastAsia="宋体" w:cs="宋体"/>
              <w:szCs w:val="24"/>
            </w:rPr>
            <w:fldChar w:fldCharType="end"/>
          </w:r>
        </w:p>
        <w:p w14:paraId="03B85E0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_Toc26489 </w:instrText>
          </w:r>
          <w:r>
            <w:rPr>
              <w:rFonts w:hint="eastAsia" w:ascii="宋体" w:hAnsi="宋体" w:eastAsia="宋体" w:cs="宋体"/>
              <w:szCs w:val="24"/>
            </w:rPr>
            <w:fldChar w:fldCharType="separate"/>
          </w:r>
          <w:r>
            <w:rPr>
              <w:rFonts w:hint="default"/>
              <w:lang w:val="en-US" w:eastAsia="zh-CN"/>
            </w:rPr>
            <w:t>1.7. 运维部经理</w:t>
          </w:r>
          <w:r>
            <w:tab/>
          </w:r>
          <w:r>
            <w:fldChar w:fldCharType="begin"/>
          </w:r>
          <w:r>
            <w:instrText xml:space="preserve"> PAGEREF _Toc26489 \h </w:instrText>
          </w:r>
          <w:r>
            <w:fldChar w:fldCharType="separate"/>
          </w:r>
          <w:r>
            <w:t>5</w:t>
          </w:r>
          <w:r>
            <w:fldChar w:fldCharType="end"/>
          </w:r>
          <w:r>
            <w:rPr>
              <w:rFonts w:hint="eastAsia" w:ascii="宋体" w:hAnsi="宋体" w:eastAsia="宋体" w:cs="宋体"/>
              <w:szCs w:val="24"/>
            </w:rPr>
            <w:fldChar w:fldCharType="end"/>
          </w:r>
        </w:p>
        <w:p w14:paraId="48F7449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_Toc28224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_Toc28224 \h </w:instrText>
          </w:r>
          <w:r>
            <w:fldChar w:fldCharType="separate"/>
          </w:r>
          <w:r>
            <w:t>5</w:t>
          </w:r>
          <w:r>
            <w:fldChar w:fldCharType="end"/>
          </w:r>
          <w:r>
            <w:rPr>
              <w:rFonts w:hint="eastAsia" w:ascii="宋体" w:hAnsi="宋体" w:eastAsia="宋体" w:cs="宋体"/>
              <w:szCs w:val="24"/>
            </w:rPr>
            <w:fldChar w:fldCharType="end"/>
          </w:r>
        </w:p>
        <w:p w14:paraId="7DBDC97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_Toc26984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_Toc26984 \h </w:instrText>
          </w:r>
          <w:r>
            <w:fldChar w:fldCharType="separate"/>
          </w:r>
          <w:r>
            <w:t>5</w:t>
          </w:r>
          <w:r>
            <w:fldChar w:fldCharType="end"/>
          </w:r>
          <w:r>
            <w:rPr>
              <w:rFonts w:hint="eastAsia" w:ascii="宋体" w:hAnsi="宋体" w:eastAsia="宋体" w:cs="宋体"/>
              <w:szCs w:val="24"/>
            </w:rPr>
            <w:fldChar w:fldCharType="end"/>
          </w:r>
        </w:p>
        <w:p w14:paraId="1656A44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_Toc10028 </w:instrText>
          </w:r>
          <w:r>
            <w:rPr>
              <w:rFonts w:hint="eastAsia" w:ascii="宋体" w:hAnsi="宋体" w:eastAsia="宋体" w:cs="宋体"/>
              <w:szCs w:val="24"/>
            </w:rPr>
            <w:fldChar w:fldCharType="separate"/>
          </w:r>
          <w:r>
            <w:rPr>
              <w:rFonts w:hint="default"/>
            </w:rPr>
            <w:t xml:space="preserve">3.1. </w:t>
          </w:r>
          <w:r>
            <w:rPr>
              <w:rFonts w:hint="eastAsia"/>
            </w:rPr>
            <w:t>备品备件及耗材</w:t>
          </w:r>
          <w:r>
            <w:tab/>
          </w:r>
          <w:r>
            <w:fldChar w:fldCharType="begin"/>
          </w:r>
          <w:r>
            <w:instrText xml:space="preserve"> PAGEREF _Toc10028 \h </w:instrText>
          </w:r>
          <w:r>
            <w:fldChar w:fldCharType="separate"/>
          </w:r>
          <w:r>
            <w:t>5</w:t>
          </w:r>
          <w:r>
            <w:fldChar w:fldCharType="end"/>
          </w:r>
          <w:r>
            <w:rPr>
              <w:rFonts w:hint="eastAsia" w:ascii="宋体" w:hAnsi="宋体" w:eastAsia="宋体" w:cs="宋体"/>
              <w:szCs w:val="24"/>
            </w:rPr>
            <w:fldChar w:fldCharType="end"/>
          </w:r>
        </w:p>
        <w:p w14:paraId="598C747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_Toc1817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_Toc1817 \h </w:instrText>
          </w:r>
          <w:r>
            <w:fldChar w:fldCharType="separate"/>
          </w:r>
          <w:r>
            <w:t>5</w:t>
          </w:r>
          <w:r>
            <w:fldChar w:fldCharType="end"/>
          </w:r>
          <w:r>
            <w:rPr>
              <w:rFonts w:hint="eastAsia" w:ascii="宋体" w:hAnsi="宋体" w:eastAsia="宋体" w:cs="宋体"/>
              <w:szCs w:val="24"/>
            </w:rPr>
            <w:fldChar w:fldCharType="end"/>
          </w:r>
        </w:p>
        <w:p w14:paraId="05ECB5C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_Toc26327 </w:instrText>
          </w:r>
          <w:r>
            <w:rPr>
              <w:rFonts w:hint="eastAsia" w:ascii="宋体" w:hAnsi="宋体" w:eastAsia="宋体" w:cs="宋体"/>
              <w:szCs w:val="24"/>
            </w:rPr>
            <w:fldChar w:fldCharType="separate"/>
          </w:r>
          <w:r>
            <w:rPr>
              <w:rFonts w:hint="default"/>
              <w:lang w:val="en-US" w:eastAsia="zh-CN"/>
            </w:rPr>
            <w:t>4.1. 日常库存管理</w:t>
          </w:r>
          <w:r>
            <w:tab/>
          </w:r>
          <w:r>
            <w:fldChar w:fldCharType="begin"/>
          </w:r>
          <w:r>
            <w:instrText xml:space="preserve"> PAGEREF _Toc26327 \h </w:instrText>
          </w:r>
          <w:r>
            <w:fldChar w:fldCharType="separate"/>
          </w:r>
          <w:r>
            <w:t>5</w:t>
          </w:r>
          <w:r>
            <w:fldChar w:fldCharType="end"/>
          </w:r>
          <w:r>
            <w:rPr>
              <w:rFonts w:hint="eastAsia" w:ascii="宋体" w:hAnsi="宋体" w:eastAsia="宋体" w:cs="宋体"/>
              <w:szCs w:val="24"/>
            </w:rPr>
            <w:fldChar w:fldCharType="end"/>
          </w:r>
        </w:p>
        <w:p w14:paraId="60BDABB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_Toc10111 </w:instrText>
          </w:r>
          <w:r>
            <w:rPr>
              <w:rFonts w:hint="eastAsia" w:ascii="宋体" w:hAnsi="宋体" w:eastAsia="宋体" w:cs="宋体"/>
              <w:szCs w:val="24"/>
            </w:rPr>
            <w:fldChar w:fldCharType="separate"/>
          </w:r>
          <w:r>
            <w:rPr>
              <w:rFonts w:hint="default"/>
              <w:lang w:val="en-US" w:eastAsia="zh-CN"/>
            </w:rPr>
            <w:t>4.2. 4.2. 领用与使用管理</w:t>
          </w:r>
          <w:r>
            <w:tab/>
          </w:r>
          <w:r>
            <w:fldChar w:fldCharType="begin"/>
          </w:r>
          <w:r>
            <w:instrText xml:space="preserve"> PAGEREF _Toc10111 \h </w:instrText>
          </w:r>
          <w:r>
            <w:fldChar w:fldCharType="separate"/>
          </w:r>
          <w:r>
            <w:t>6</w:t>
          </w:r>
          <w:r>
            <w:fldChar w:fldCharType="end"/>
          </w:r>
          <w:r>
            <w:rPr>
              <w:rFonts w:hint="eastAsia" w:ascii="宋体" w:hAnsi="宋体" w:eastAsia="宋体" w:cs="宋体"/>
              <w:szCs w:val="24"/>
            </w:rPr>
            <w:fldChar w:fldCharType="end"/>
          </w:r>
        </w:p>
        <w:p w14:paraId="475ECF9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_Toc27283 </w:instrText>
          </w:r>
          <w:r>
            <w:rPr>
              <w:rFonts w:hint="eastAsia" w:ascii="宋体" w:hAnsi="宋体" w:eastAsia="宋体" w:cs="宋体"/>
              <w:szCs w:val="24"/>
            </w:rPr>
            <w:fldChar w:fldCharType="separate"/>
          </w:r>
          <w:r>
            <w:rPr>
              <w:rFonts w:hint="default"/>
              <w:lang w:val="en-US" w:eastAsia="zh-CN"/>
            </w:rPr>
            <w:t>4.3. 备件计划管理</w:t>
          </w:r>
          <w:r>
            <w:tab/>
          </w:r>
          <w:r>
            <w:fldChar w:fldCharType="begin"/>
          </w:r>
          <w:r>
            <w:instrText xml:space="preserve"> PAGEREF _Toc27283 \h </w:instrText>
          </w:r>
          <w:r>
            <w:fldChar w:fldCharType="separate"/>
          </w:r>
          <w:r>
            <w:t>6</w:t>
          </w:r>
          <w:r>
            <w:fldChar w:fldCharType="end"/>
          </w:r>
          <w:r>
            <w:rPr>
              <w:rFonts w:hint="eastAsia" w:ascii="宋体" w:hAnsi="宋体" w:eastAsia="宋体" w:cs="宋体"/>
              <w:szCs w:val="24"/>
            </w:rPr>
            <w:fldChar w:fldCharType="end"/>
          </w:r>
        </w:p>
        <w:p w14:paraId="2DC24D9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_Toc25636 </w:instrText>
          </w:r>
          <w:r>
            <w:rPr>
              <w:rFonts w:hint="eastAsia" w:ascii="宋体" w:hAnsi="宋体" w:eastAsia="宋体" w:cs="宋体"/>
              <w:szCs w:val="24"/>
            </w:rPr>
            <w:fldChar w:fldCharType="separate"/>
          </w:r>
          <w:r>
            <w:rPr>
              <w:rFonts w:hint="default"/>
              <w:lang w:val="en-US" w:eastAsia="zh-CN"/>
            </w:rPr>
            <w:t>4.4. 采购及供应商管理</w:t>
          </w:r>
          <w:r>
            <w:tab/>
          </w:r>
          <w:r>
            <w:fldChar w:fldCharType="begin"/>
          </w:r>
          <w:r>
            <w:instrText xml:space="preserve"> PAGEREF _Toc25636 \h </w:instrText>
          </w:r>
          <w:r>
            <w:fldChar w:fldCharType="separate"/>
          </w:r>
          <w:r>
            <w:t>6</w:t>
          </w:r>
          <w:r>
            <w:fldChar w:fldCharType="end"/>
          </w:r>
          <w:r>
            <w:rPr>
              <w:rFonts w:hint="eastAsia" w:ascii="宋体" w:hAnsi="宋体" w:eastAsia="宋体" w:cs="宋体"/>
              <w:szCs w:val="24"/>
            </w:rPr>
            <w:fldChar w:fldCharType="end"/>
          </w:r>
        </w:p>
        <w:p w14:paraId="241331D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_Toc31034 </w:instrText>
          </w:r>
          <w:r>
            <w:rPr>
              <w:rFonts w:hint="eastAsia" w:ascii="宋体" w:hAnsi="宋体" w:eastAsia="宋体" w:cs="宋体"/>
              <w:szCs w:val="24"/>
            </w:rPr>
            <w:fldChar w:fldCharType="separate"/>
          </w:r>
          <w:r>
            <w:rPr>
              <w:rFonts w:hint="default"/>
              <w:lang w:val="en-US" w:eastAsia="zh-CN"/>
            </w:rPr>
            <w:t>4.5. 备件响应级别</w:t>
          </w:r>
          <w:r>
            <w:tab/>
          </w:r>
          <w:r>
            <w:fldChar w:fldCharType="begin"/>
          </w:r>
          <w:r>
            <w:instrText xml:space="preserve"> PAGEREF _Toc31034 \h </w:instrText>
          </w:r>
          <w:r>
            <w:fldChar w:fldCharType="separate"/>
          </w:r>
          <w:r>
            <w:t>6</w:t>
          </w:r>
          <w:r>
            <w:fldChar w:fldCharType="end"/>
          </w:r>
          <w:r>
            <w:rPr>
              <w:rFonts w:hint="eastAsia" w:ascii="宋体" w:hAnsi="宋体" w:eastAsia="宋体" w:cs="宋体"/>
              <w:szCs w:val="24"/>
            </w:rPr>
            <w:fldChar w:fldCharType="end"/>
          </w:r>
        </w:p>
        <w:p w14:paraId="090F6AA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_Toc5644 </w:instrText>
          </w:r>
          <w:r>
            <w:rPr>
              <w:rFonts w:hint="eastAsia" w:ascii="宋体" w:hAnsi="宋体" w:eastAsia="宋体" w:cs="宋体"/>
              <w:szCs w:val="24"/>
            </w:rPr>
            <w:fldChar w:fldCharType="separate"/>
          </w:r>
          <w:r>
            <w:rPr>
              <w:rFonts w:hint="default"/>
              <w:lang w:val="en-US" w:eastAsia="zh-CN"/>
            </w:rPr>
            <w:t>4.6. 出入库管理</w:t>
          </w:r>
          <w:r>
            <w:tab/>
          </w:r>
          <w:r>
            <w:fldChar w:fldCharType="begin"/>
          </w:r>
          <w:r>
            <w:instrText xml:space="preserve"> PAGEREF _Toc5644 \h </w:instrText>
          </w:r>
          <w:r>
            <w:fldChar w:fldCharType="separate"/>
          </w:r>
          <w:r>
            <w:t>7</w:t>
          </w:r>
          <w:r>
            <w:fldChar w:fldCharType="end"/>
          </w:r>
          <w:r>
            <w:rPr>
              <w:rFonts w:hint="eastAsia" w:ascii="宋体" w:hAnsi="宋体" w:eastAsia="宋体" w:cs="宋体"/>
              <w:szCs w:val="24"/>
            </w:rPr>
            <w:fldChar w:fldCharType="end"/>
          </w:r>
        </w:p>
        <w:p w14:paraId="32D4353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_Toc18188 </w:instrText>
          </w:r>
          <w:r>
            <w:rPr>
              <w:rFonts w:hint="eastAsia" w:ascii="宋体" w:hAnsi="宋体" w:eastAsia="宋体" w:cs="宋体"/>
              <w:szCs w:val="24"/>
            </w:rPr>
            <w:fldChar w:fldCharType="separate"/>
          </w:r>
          <w:r>
            <w:rPr>
              <w:rFonts w:hint="default"/>
              <w:lang w:val="en-US" w:eastAsia="zh-CN"/>
            </w:rPr>
            <w:t>4.7. 坏件处理</w:t>
          </w:r>
          <w:r>
            <w:tab/>
          </w:r>
          <w:r>
            <w:fldChar w:fldCharType="begin"/>
          </w:r>
          <w:r>
            <w:instrText xml:space="preserve"> PAGEREF _Toc18188 \h </w:instrText>
          </w:r>
          <w:r>
            <w:fldChar w:fldCharType="separate"/>
          </w:r>
          <w:r>
            <w:t>7</w:t>
          </w:r>
          <w:r>
            <w:fldChar w:fldCharType="end"/>
          </w:r>
          <w:r>
            <w:rPr>
              <w:rFonts w:hint="eastAsia" w:ascii="宋体" w:hAnsi="宋体" w:eastAsia="宋体" w:cs="宋体"/>
              <w:szCs w:val="24"/>
            </w:rPr>
            <w:fldChar w:fldCharType="end"/>
          </w:r>
        </w:p>
        <w:p w14:paraId="72B847F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_Toc2712 </w:instrText>
          </w:r>
          <w:r>
            <w:rPr>
              <w:rFonts w:hint="eastAsia" w:ascii="宋体" w:hAnsi="宋体" w:eastAsia="宋体" w:cs="宋体"/>
              <w:szCs w:val="24"/>
            </w:rPr>
            <w:fldChar w:fldCharType="separate"/>
          </w:r>
          <w:r>
            <w:rPr>
              <w:rFonts w:hint="default"/>
              <w:lang w:val="en-US" w:eastAsia="zh-CN"/>
            </w:rPr>
            <w:t>4.8. 库存盘点管理</w:t>
          </w:r>
          <w:r>
            <w:tab/>
          </w:r>
          <w:r>
            <w:fldChar w:fldCharType="begin"/>
          </w:r>
          <w:r>
            <w:instrText xml:space="preserve"> PAGEREF _Toc2712 \h </w:instrText>
          </w:r>
          <w:r>
            <w:fldChar w:fldCharType="separate"/>
          </w:r>
          <w:r>
            <w:t>7</w:t>
          </w:r>
          <w:r>
            <w:fldChar w:fldCharType="end"/>
          </w:r>
          <w:r>
            <w:rPr>
              <w:rFonts w:hint="eastAsia" w:ascii="宋体" w:hAnsi="宋体" w:eastAsia="宋体" w:cs="宋体"/>
              <w:szCs w:val="24"/>
            </w:rPr>
            <w:fldChar w:fldCharType="end"/>
          </w:r>
        </w:p>
        <w:p w14:paraId="7910BDF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_Toc13695 </w:instrText>
          </w:r>
          <w:r>
            <w:rPr>
              <w:rFonts w:hint="eastAsia" w:ascii="宋体" w:hAnsi="宋体" w:eastAsia="宋体" w:cs="宋体"/>
              <w:szCs w:val="24"/>
            </w:rPr>
            <w:fldChar w:fldCharType="separate"/>
          </w:r>
          <w:r>
            <w:rPr>
              <w:rFonts w:hint="default"/>
              <w:lang w:val="en-US" w:eastAsia="zh-CN"/>
            </w:rPr>
            <w:t>4.9. 可用性管理</w:t>
          </w:r>
          <w:r>
            <w:tab/>
          </w:r>
          <w:r>
            <w:fldChar w:fldCharType="begin"/>
          </w:r>
          <w:r>
            <w:instrText xml:space="preserve"> PAGEREF _Toc13695 \h </w:instrText>
          </w:r>
          <w:r>
            <w:fldChar w:fldCharType="separate"/>
          </w:r>
          <w:r>
            <w:t>7</w:t>
          </w:r>
          <w:r>
            <w:fldChar w:fldCharType="end"/>
          </w:r>
          <w:r>
            <w:rPr>
              <w:rFonts w:hint="eastAsia" w:ascii="宋体" w:hAnsi="宋体" w:eastAsia="宋体" w:cs="宋体"/>
              <w:szCs w:val="24"/>
            </w:rPr>
            <w:fldChar w:fldCharType="end"/>
          </w:r>
        </w:p>
        <w:p w14:paraId="640E757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_Toc10395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_Toc10395 \h </w:instrText>
          </w:r>
          <w:r>
            <w:fldChar w:fldCharType="separate"/>
          </w:r>
          <w:r>
            <w:t>7</w:t>
          </w:r>
          <w:r>
            <w:fldChar w:fldCharType="end"/>
          </w:r>
          <w:r>
            <w:rPr>
              <w:rFonts w:hint="eastAsia" w:ascii="宋体" w:hAnsi="宋体" w:eastAsia="宋体" w:cs="宋体"/>
              <w:szCs w:val="24"/>
            </w:rPr>
            <w:fldChar w:fldCharType="end"/>
          </w:r>
        </w:p>
        <w:p w14:paraId="382755F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_Toc13956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_Toc13956 \h </w:instrText>
          </w:r>
          <w:r>
            <w:fldChar w:fldCharType="separate"/>
          </w:r>
          <w:r>
            <w:t>8</w:t>
          </w:r>
          <w:r>
            <w:fldChar w:fldCharType="end"/>
          </w:r>
          <w:r>
            <w:rPr>
              <w:rFonts w:hint="eastAsia" w:ascii="宋体" w:hAnsi="宋体" w:eastAsia="宋体" w:cs="宋体"/>
              <w:szCs w:val="24"/>
            </w:rPr>
            <w:fldChar w:fldCharType="end"/>
          </w:r>
        </w:p>
        <w:p w14:paraId="2EC8502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_Toc20223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_Toc20223 \h </w:instrText>
          </w:r>
          <w:r>
            <w:fldChar w:fldCharType="separate"/>
          </w:r>
          <w:r>
            <w:t>8</w:t>
          </w:r>
          <w:r>
            <w:fldChar w:fldCharType="end"/>
          </w:r>
          <w:r>
            <w:rPr>
              <w:rFonts w:hint="eastAsia" w:ascii="宋体" w:hAnsi="宋体" w:eastAsia="宋体" w:cs="宋体"/>
              <w:szCs w:val="24"/>
            </w:rPr>
            <w:fldChar w:fldCharType="end"/>
          </w:r>
        </w:p>
        <w:p w14:paraId="05460C6F">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72DD7F8">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6869B1E">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22811"/>
      <w:r>
        <w:rPr>
          <w:rFonts w:hint="eastAsia"/>
          <w:lang w:val="en-US" w:eastAsia="zh-CN"/>
        </w:rPr>
        <w:t>总则</w:t>
      </w:r>
      <w:bookmarkEnd w:id="2"/>
    </w:p>
    <w:p w14:paraId="151B219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22633"/>
      <w:r>
        <w:rPr>
          <w:rFonts w:hint="eastAsia"/>
          <w:lang w:val="en-US" w:eastAsia="zh-CN"/>
        </w:rPr>
        <w:t>目的</w:t>
      </w:r>
      <w:bookmarkEnd w:id="3"/>
    </w:p>
    <w:p w14:paraId="69748369">
      <w:pPr>
        <w:pStyle w:val="29"/>
        <w:rPr>
          <w:rFonts w:hint="eastAsia"/>
          <w:lang w:val="en-US" w:eastAsia="zh-CN"/>
        </w:rPr>
      </w:pPr>
      <w:r>
        <w:rPr>
          <w:rFonts w:hint="eastAsia"/>
          <w:lang w:val="en-US" w:eastAsia="zh-CN"/>
        </w:rPr>
        <w:t>为规范公司运维服务中备品备件及耗材的全过程管理，建立科学合理的储备与补给机制，确保设备维修的及时性，减少因备件短缺造成的服务中断；同时，通过精细化管控，优化库存结构，降低资金占用，全面提升公司在运维服务项目中的备件响应与支持能力，特制定本制度。</w:t>
      </w:r>
    </w:p>
    <w:p w14:paraId="74FEE6B8">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9697"/>
      <w:r>
        <w:rPr>
          <w:rFonts w:hint="eastAsia"/>
          <w:lang w:val="en-US" w:eastAsia="zh-CN"/>
        </w:rPr>
        <w:t>适用范围</w:t>
      </w:r>
      <w:bookmarkEnd w:id="4"/>
    </w:p>
    <w:p w14:paraId="3BB47509">
      <w:pPr>
        <w:pStyle w:val="29"/>
        <w:rPr>
          <w:rFonts w:hint="eastAsia"/>
          <w:lang w:val="en-US" w:eastAsia="zh-CN"/>
        </w:rPr>
      </w:pPr>
      <w:r>
        <w:rPr>
          <w:rFonts w:hint="eastAsia"/>
          <w:lang w:val="en-US" w:eastAsia="zh-CN"/>
        </w:rPr>
        <w:t>本制度适用于公司运维部所辖所有设备在运维服务过程中涉及的备品备件及耗材的管理，包括其计划、采购、仓储、领用、报废等环节。</w:t>
      </w:r>
    </w:p>
    <w:p w14:paraId="1D3A738A">
      <w:pPr>
        <w:pStyle w:val="30"/>
        <w:keepNext w:val="0"/>
        <w:keepLines w:val="0"/>
        <w:pageBreakBefore w:val="0"/>
        <w:widowControl w:val="0"/>
        <w:tabs>
          <w:tab w:val="left" w:pos="2472"/>
        </w:tabs>
        <w:kinsoku w:val="0"/>
        <w:wordWrap/>
        <w:overflowPunct/>
        <w:autoSpaceDE w:val="0"/>
        <w:autoSpaceDN w:val="0"/>
        <w:bidi w:val="0"/>
        <w:adjustRightInd w:val="0"/>
        <w:snapToGrid w:val="0"/>
        <w:textAlignment w:val="baseline"/>
        <w:rPr>
          <w:rFonts w:hint="eastAsia"/>
          <w:lang w:val="en-US" w:eastAsia="zh-CN"/>
        </w:rPr>
      </w:pPr>
      <w:bookmarkStart w:id="5" w:name="_Toc14576"/>
      <w:r>
        <w:rPr>
          <w:rFonts w:hint="eastAsia"/>
          <w:lang w:val="en-US" w:eastAsia="zh-CN"/>
        </w:rPr>
        <w:t>原则</w:t>
      </w:r>
      <w:bookmarkEnd w:id="5"/>
      <w:r>
        <w:rPr>
          <w:rFonts w:hint="eastAsia"/>
          <w:lang w:val="en-US" w:eastAsia="zh-CN"/>
        </w:rPr>
        <w:tab/>
      </w:r>
    </w:p>
    <w:p w14:paraId="610DAEA2">
      <w:pPr>
        <w:pStyle w:val="29"/>
        <w:numPr>
          <w:ilvl w:val="0"/>
          <w:numId w:val="2"/>
        </w:numPr>
        <w:ind w:left="425" w:leftChars="0" w:hanging="425" w:firstLineChars="0"/>
        <w:rPr>
          <w:rFonts w:hint="eastAsia"/>
          <w:lang w:val="en-US" w:eastAsia="zh-CN"/>
        </w:rPr>
      </w:pPr>
      <w:r>
        <w:rPr>
          <w:rFonts w:hint="eastAsia"/>
          <w:lang w:val="en-US" w:eastAsia="zh-CN"/>
        </w:rPr>
        <w:t>保障优先原则： 备件管理应以保障运维服务连续性为首要目标。</w:t>
      </w:r>
    </w:p>
    <w:p w14:paraId="36317804">
      <w:pPr>
        <w:pStyle w:val="29"/>
        <w:numPr>
          <w:ilvl w:val="0"/>
          <w:numId w:val="2"/>
        </w:numPr>
        <w:ind w:left="425" w:leftChars="0" w:hanging="425" w:firstLineChars="0"/>
        <w:rPr>
          <w:rFonts w:hint="eastAsia"/>
          <w:lang w:val="en-US" w:eastAsia="zh-CN"/>
        </w:rPr>
      </w:pPr>
      <w:r>
        <w:rPr>
          <w:rFonts w:hint="eastAsia"/>
          <w:lang w:val="en-US" w:eastAsia="zh-CN"/>
        </w:rPr>
        <w:t>经济合理原则： 在保障服务的同时，控制库存成本，避免过度储备。</w:t>
      </w:r>
    </w:p>
    <w:p w14:paraId="23D24A38">
      <w:pPr>
        <w:pStyle w:val="29"/>
        <w:numPr>
          <w:ilvl w:val="0"/>
          <w:numId w:val="2"/>
        </w:numPr>
        <w:ind w:left="425" w:leftChars="0" w:hanging="425" w:firstLineChars="0"/>
        <w:rPr>
          <w:rFonts w:hint="eastAsia"/>
          <w:lang w:val="en-US" w:eastAsia="zh-CN"/>
        </w:rPr>
      </w:pPr>
      <w:r>
        <w:rPr>
          <w:rFonts w:hint="eastAsia"/>
          <w:lang w:val="en-US" w:eastAsia="zh-CN"/>
        </w:rPr>
        <w:t>流程规范原则： 所有备件流转必须遵循规定的流程，确保账物一致、责任清晰。</w:t>
      </w:r>
    </w:p>
    <w:p w14:paraId="1880C9C2">
      <w:pPr>
        <w:pStyle w:val="29"/>
        <w:numPr>
          <w:ilvl w:val="0"/>
          <w:numId w:val="2"/>
        </w:numPr>
        <w:ind w:left="425" w:leftChars="0" w:hanging="425" w:firstLineChars="0"/>
        <w:rPr>
          <w:rFonts w:hint="eastAsia"/>
          <w:lang w:val="en-US" w:eastAsia="zh-CN"/>
        </w:rPr>
      </w:pPr>
      <w:r>
        <w:rPr>
          <w:rFonts w:hint="eastAsia"/>
          <w:lang w:val="en-US" w:eastAsia="zh-CN"/>
        </w:rPr>
        <w:t>持续优化原则： 定期分析备件使用数据，动态调整库存策略，实现持续改进。</w:t>
      </w:r>
    </w:p>
    <w:p w14:paraId="6FCDC5E8">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30050"/>
      <w:r>
        <w:rPr>
          <w:rFonts w:hint="eastAsia"/>
          <w:lang w:val="en-US" w:eastAsia="zh-CN"/>
        </w:rPr>
        <w:t>岗位职责</w:t>
      </w:r>
      <w:bookmarkEnd w:id="6"/>
    </w:p>
    <w:p w14:paraId="7BF23DC7">
      <w:pPr>
        <w:pStyle w:val="31"/>
        <w:bidi w:val="0"/>
        <w:rPr>
          <w:rFonts w:hint="default"/>
          <w:lang w:val="en-US" w:eastAsia="zh-CN"/>
        </w:rPr>
      </w:pPr>
      <w:bookmarkStart w:id="7" w:name="_Toc26415"/>
      <w:r>
        <w:rPr>
          <w:rFonts w:hint="eastAsia"/>
          <w:lang w:val="en-US" w:eastAsia="zh-CN"/>
        </w:rPr>
        <w:t>备品备件</w:t>
      </w:r>
      <w:r>
        <w:rPr>
          <w:rFonts w:hint="default"/>
          <w:lang w:val="en-US" w:eastAsia="zh-CN"/>
        </w:rPr>
        <w:t>管理员</w:t>
      </w:r>
      <w:bookmarkEnd w:id="7"/>
    </w:p>
    <w:p w14:paraId="665ECA42">
      <w:pPr>
        <w:pStyle w:val="29"/>
        <w:rPr>
          <w:rFonts w:hint="default"/>
          <w:lang w:val="en-US" w:eastAsia="zh-CN"/>
        </w:rPr>
      </w:pPr>
      <w:r>
        <w:rPr>
          <w:rFonts w:hint="default"/>
          <w:lang w:val="en-US" w:eastAsia="zh-CN"/>
        </w:rPr>
        <w:t>是备件库的日常管理责任人，负责备件出入库、库存盘点、需求计划汇总、坏件退库跟踪及库存预警。</w:t>
      </w:r>
    </w:p>
    <w:p w14:paraId="55AF0FA6">
      <w:pPr>
        <w:pStyle w:val="29"/>
        <w:rPr>
          <w:rFonts w:hint="default"/>
          <w:lang w:val="en-US" w:eastAsia="zh-CN"/>
        </w:rPr>
      </w:pPr>
      <w:r>
        <w:rPr>
          <w:rFonts w:hint="default"/>
          <w:lang w:val="en-US" w:eastAsia="zh-CN"/>
        </w:rPr>
        <w:t>负责依据审批后的采购计划执行采购、供应商管理、到货检测及公司中央仓库的收发管理。</w:t>
      </w:r>
    </w:p>
    <w:p w14:paraId="3B5A5EB3">
      <w:pPr>
        <w:pStyle w:val="31"/>
        <w:bidi w:val="0"/>
        <w:rPr>
          <w:rFonts w:hint="eastAsia"/>
          <w:lang w:val="en-US" w:eastAsia="zh-CN"/>
        </w:rPr>
      </w:pPr>
      <w:bookmarkStart w:id="8" w:name="_Toc25362"/>
      <w:r>
        <w:rPr>
          <w:rFonts w:hint="eastAsia"/>
          <w:lang w:val="en-US" w:eastAsia="zh-CN"/>
        </w:rPr>
        <w:t>采购专员</w:t>
      </w:r>
      <w:bookmarkEnd w:id="8"/>
      <w:bookmarkStart w:id="29" w:name="_GoBack"/>
      <w:bookmarkEnd w:id="29"/>
    </w:p>
    <w:p w14:paraId="3BDEC3F1">
      <w:pPr>
        <w:pStyle w:val="29"/>
        <w:rPr>
          <w:rFonts w:hint="default"/>
          <w:lang w:val="en-US" w:eastAsia="zh-CN"/>
        </w:rPr>
      </w:pPr>
      <w:r>
        <w:rPr>
          <w:rFonts w:hint="default"/>
          <w:lang w:val="en-US" w:eastAsia="zh-CN"/>
        </w:rPr>
        <w:t>负责执行采购计划、供应商协调、到货跟进、送检及办理入库，并跟踪坏件维修流程。</w:t>
      </w:r>
    </w:p>
    <w:p w14:paraId="790872BC">
      <w:pPr>
        <w:pStyle w:val="31"/>
        <w:bidi w:val="0"/>
        <w:rPr>
          <w:rFonts w:hint="default"/>
          <w:lang w:val="en-US" w:eastAsia="zh-CN"/>
        </w:rPr>
      </w:pPr>
      <w:bookmarkStart w:id="9" w:name="_Toc26489"/>
      <w:r>
        <w:rPr>
          <w:rFonts w:hint="default"/>
          <w:lang w:val="en-US" w:eastAsia="zh-CN"/>
        </w:rPr>
        <w:t>运维部经理</w:t>
      </w:r>
      <w:bookmarkEnd w:id="9"/>
    </w:p>
    <w:p w14:paraId="5C5FCF97">
      <w:pPr>
        <w:pStyle w:val="29"/>
        <w:rPr>
          <w:rFonts w:hint="default"/>
          <w:lang w:val="en-US" w:eastAsia="zh-CN"/>
        </w:rPr>
      </w:pPr>
      <w:r>
        <w:rPr>
          <w:rFonts w:hint="default"/>
          <w:lang w:val="en-US" w:eastAsia="zh-CN"/>
        </w:rPr>
        <w:t>负责备件需求计划、出库及采购申请的审核与审批，并对备件的现场可用性负总责。</w:t>
      </w:r>
    </w:p>
    <w:p w14:paraId="744EE43F">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0" w:name="_Toc28224"/>
      <w:r>
        <w:rPr>
          <w:rFonts w:hint="eastAsia"/>
          <w:lang w:val="en-US" w:eastAsia="zh-CN"/>
        </w:rPr>
        <w:t>引用依据</w:t>
      </w:r>
      <w:bookmarkEnd w:id="10"/>
    </w:p>
    <w:p w14:paraId="66550BE4">
      <w:pPr>
        <w:pStyle w:val="29"/>
        <w:numPr>
          <w:ilvl w:val="0"/>
          <w:numId w:val="3"/>
        </w:numPr>
        <w:ind w:left="425" w:leftChars="0" w:hanging="425" w:firstLineChars="0"/>
        <w:rPr>
          <w:rFonts w:hint="eastAsia"/>
          <w:lang w:val="en-US" w:eastAsia="zh-CN"/>
        </w:rPr>
      </w:pPr>
      <w:r>
        <w:rPr>
          <w:rFonts w:hint="eastAsia"/>
          <w:lang w:val="en-US" w:eastAsia="zh-CN"/>
        </w:rPr>
        <w:t>GB/T 28827.1-2022 《信息技术服务 运行维护 第1部分：通用要求》</w:t>
      </w:r>
    </w:p>
    <w:p w14:paraId="5CBAF0B2">
      <w:pPr>
        <w:pStyle w:val="29"/>
        <w:numPr>
          <w:ilvl w:val="0"/>
          <w:numId w:val="3"/>
        </w:numPr>
        <w:ind w:left="425" w:leftChars="0" w:hanging="425" w:firstLineChars="0"/>
        <w:rPr>
          <w:rFonts w:hint="eastAsia"/>
          <w:lang w:val="en-US" w:eastAsia="zh-CN"/>
        </w:rPr>
      </w:pPr>
      <w:r>
        <w:rPr>
          <w:rFonts w:hint="eastAsia"/>
          <w:lang w:val="en-US" w:eastAsia="zh-CN"/>
        </w:rPr>
        <w:t>GB/T 28827.2-2012 《信息技术服务 运行维护 第2部分：交付规范》</w:t>
      </w:r>
    </w:p>
    <w:p w14:paraId="6D871A1F">
      <w:pPr>
        <w:pStyle w:val="29"/>
        <w:numPr>
          <w:ilvl w:val="0"/>
          <w:numId w:val="3"/>
        </w:numPr>
        <w:ind w:left="425" w:leftChars="0" w:hanging="425" w:firstLineChars="0"/>
        <w:rPr>
          <w:rFonts w:hint="eastAsia"/>
          <w:lang w:val="en-US" w:eastAsia="zh-CN"/>
        </w:rPr>
      </w:pPr>
      <w:r>
        <w:rPr>
          <w:rFonts w:hint="eastAsia"/>
          <w:lang w:val="en-US" w:eastAsia="zh-CN"/>
        </w:rPr>
        <w:t>T/CESA 1299—2023 《信息技术服务 运行维护服务能力成熟度模型》</w:t>
      </w:r>
    </w:p>
    <w:p w14:paraId="2B1E0AA3">
      <w:pPr>
        <w:pStyle w:val="29"/>
        <w:numPr>
          <w:ilvl w:val="0"/>
          <w:numId w:val="3"/>
        </w:numPr>
        <w:ind w:left="425" w:leftChars="0" w:hanging="425" w:firstLineChars="0"/>
        <w:rPr>
          <w:rFonts w:hint="eastAsia"/>
          <w:lang w:val="en-US" w:eastAsia="zh-CN"/>
        </w:rPr>
      </w:pPr>
      <w:r>
        <w:rPr>
          <w:rFonts w:hint="eastAsia"/>
          <w:lang w:val="en-US" w:eastAsia="zh-CN"/>
        </w:rPr>
        <w:t>公司《物资出库及请购审批权限规定》</w:t>
      </w:r>
    </w:p>
    <w:p w14:paraId="1194C054">
      <w:pPr>
        <w:pStyle w:val="29"/>
        <w:numPr>
          <w:ilvl w:val="0"/>
          <w:numId w:val="3"/>
        </w:numPr>
        <w:ind w:left="425" w:leftChars="0" w:hanging="425" w:firstLineChars="0"/>
        <w:rPr>
          <w:rFonts w:hint="eastAsia"/>
          <w:lang w:val="en-US" w:eastAsia="zh-CN"/>
        </w:rPr>
      </w:pPr>
      <w:r>
        <w:rPr>
          <w:rFonts w:hint="eastAsia"/>
          <w:lang w:val="en-US" w:eastAsia="zh-CN"/>
        </w:rPr>
        <w:t>公司《不合格品控制程序》</w:t>
      </w:r>
    </w:p>
    <w:p w14:paraId="3078E5D4">
      <w:pPr>
        <w:pStyle w:val="28"/>
        <w:keepNext w:val="0"/>
        <w:keepLines w:val="0"/>
        <w:pageBreakBefore w:val="0"/>
        <w:widowControl w:val="0"/>
        <w:kinsoku w:val="0"/>
        <w:wordWrap/>
        <w:overflowPunct/>
        <w:autoSpaceDE w:val="0"/>
        <w:autoSpaceDN w:val="0"/>
        <w:bidi w:val="0"/>
        <w:adjustRightInd w:val="0"/>
        <w:snapToGrid w:val="0"/>
        <w:textAlignment w:val="baseline"/>
      </w:pPr>
      <w:bookmarkStart w:id="11" w:name="_Toc26984"/>
      <w:r>
        <w:rPr>
          <w:rFonts w:hint="eastAsia"/>
          <w:lang w:val="en-US" w:eastAsia="zh-CN"/>
        </w:rPr>
        <w:t>定义与术语</w:t>
      </w:r>
      <w:bookmarkEnd w:id="11"/>
    </w:p>
    <w:p w14:paraId="1FCCCE11">
      <w:pPr>
        <w:pStyle w:val="30"/>
        <w:bidi w:val="0"/>
        <w:rPr>
          <w:rFonts w:hint="eastAsia"/>
        </w:rPr>
      </w:pPr>
      <w:bookmarkStart w:id="12" w:name="_Toc10028"/>
      <w:r>
        <w:rPr>
          <w:rFonts w:hint="eastAsia"/>
        </w:rPr>
        <w:t>备品备件及耗材</w:t>
      </w:r>
      <w:bookmarkEnd w:id="12"/>
    </w:p>
    <w:p w14:paraId="24FCCDB6">
      <w:pPr>
        <w:pStyle w:val="29"/>
        <w:rPr>
          <w:rFonts w:hint="eastAsia"/>
        </w:rPr>
      </w:pPr>
      <w:r>
        <w:rPr>
          <w:rFonts w:hint="eastAsia"/>
        </w:rPr>
        <w:t>为保障运维设备稳定运行，预先采购并储备的用于故障维修、维护保养的备用模块、零部件及消耗性材料。</w:t>
      </w:r>
    </w:p>
    <w:p w14:paraId="60EF8C3F">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3" w:name="_Toc1817"/>
      <w:r>
        <w:rPr>
          <w:rFonts w:hint="eastAsia"/>
          <w:lang w:val="en-US" w:eastAsia="zh-CN"/>
        </w:rPr>
        <w:t>管理内容与要求</w:t>
      </w:r>
      <w:bookmarkEnd w:id="13"/>
    </w:p>
    <w:p w14:paraId="391ABF61">
      <w:pPr>
        <w:pStyle w:val="30"/>
        <w:bidi w:val="0"/>
        <w:rPr>
          <w:rFonts w:hint="default"/>
          <w:lang w:val="en-US" w:eastAsia="zh-CN"/>
        </w:rPr>
      </w:pPr>
      <w:bookmarkStart w:id="14" w:name="_Toc26327"/>
      <w:r>
        <w:rPr>
          <w:rFonts w:hint="default"/>
          <w:lang w:val="en-US" w:eastAsia="zh-CN"/>
        </w:rPr>
        <w:t>日常库存管理</w:t>
      </w:r>
      <w:bookmarkEnd w:id="14"/>
    </w:p>
    <w:p w14:paraId="37870F5C">
      <w:pPr>
        <w:pStyle w:val="29"/>
        <w:rPr>
          <w:rFonts w:hint="default"/>
          <w:lang w:val="en-US" w:eastAsia="zh-CN"/>
        </w:rPr>
      </w:pPr>
      <w:r>
        <w:rPr>
          <w:rFonts w:hint="eastAsia"/>
          <w:lang w:val="en-US" w:eastAsia="zh-CN"/>
        </w:rPr>
        <w:t>备品备件管理员</w:t>
      </w:r>
      <w:r>
        <w:rPr>
          <w:rFonts w:hint="default"/>
          <w:lang w:val="en-US" w:eastAsia="zh-CN"/>
        </w:rPr>
        <w:t>需根据运维项目合同，制定并维护《XX项目备品备件标准库存数量表》，并</w:t>
      </w:r>
      <w:r>
        <w:rPr>
          <w:rFonts w:hint="eastAsia"/>
          <w:lang w:val="en-US" w:eastAsia="zh-CN"/>
        </w:rPr>
        <w:t>记录</w:t>
      </w:r>
      <w:r>
        <w:rPr>
          <w:rFonts w:hint="default"/>
          <w:lang w:val="en-US" w:eastAsia="zh-CN"/>
        </w:rPr>
        <w:t>库存信息。</w:t>
      </w:r>
    </w:p>
    <w:p w14:paraId="520D4D2C">
      <w:pPr>
        <w:pStyle w:val="29"/>
        <w:rPr>
          <w:rFonts w:hint="default"/>
          <w:lang w:val="en-US" w:eastAsia="zh-CN"/>
        </w:rPr>
      </w:pPr>
      <w:r>
        <w:rPr>
          <w:rFonts w:hint="eastAsia"/>
          <w:lang w:val="en-US" w:eastAsia="zh-CN"/>
        </w:rPr>
        <w:t>备品备件管理员</w:t>
      </w:r>
      <w:r>
        <w:rPr>
          <w:rFonts w:hint="default"/>
          <w:lang w:val="en-US" w:eastAsia="zh-CN"/>
        </w:rPr>
        <w:t>负责备件的包装与发货。更换下的坏件须办理退库手续，由质量管理部鉴定后决定维修或报废。</w:t>
      </w:r>
    </w:p>
    <w:p w14:paraId="48C90AC9">
      <w:pPr>
        <w:pStyle w:val="29"/>
        <w:rPr>
          <w:rFonts w:hint="default"/>
          <w:lang w:val="en-US" w:eastAsia="zh-CN"/>
        </w:rPr>
      </w:pPr>
      <w:r>
        <w:rPr>
          <w:rFonts w:hint="default"/>
          <w:lang w:val="en-US" w:eastAsia="zh-CN"/>
        </w:rPr>
        <w:t>备件库需每季度进行一次全面盘点，确保账实相符。</w:t>
      </w:r>
    </w:p>
    <w:p w14:paraId="00C7ED14">
      <w:pPr>
        <w:pStyle w:val="30"/>
        <w:bidi w:val="0"/>
        <w:rPr>
          <w:rFonts w:hint="default"/>
          <w:lang w:val="en-US" w:eastAsia="zh-CN"/>
        </w:rPr>
      </w:pPr>
      <w:bookmarkStart w:id="15" w:name="_Toc10111"/>
      <w:r>
        <w:rPr>
          <w:rFonts w:hint="default"/>
          <w:lang w:val="en-US" w:eastAsia="zh-CN"/>
        </w:rPr>
        <w:t>4.2. 领用与使用管理</w:t>
      </w:r>
      <w:bookmarkEnd w:id="15"/>
    </w:p>
    <w:p w14:paraId="5DA11BE6">
      <w:pPr>
        <w:pStyle w:val="29"/>
        <w:rPr>
          <w:rFonts w:hint="default"/>
          <w:lang w:val="en-US" w:eastAsia="zh-CN"/>
        </w:rPr>
      </w:pPr>
      <w:r>
        <w:rPr>
          <w:rFonts w:hint="default"/>
          <w:lang w:val="en-US" w:eastAsia="zh-CN"/>
        </w:rPr>
        <w:t>一线运维人员因工作需要领用备件时，须通过系统提交《备品备件需求申请表》，经运维部经理审批后执行。</w:t>
      </w:r>
    </w:p>
    <w:p w14:paraId="127B42D5">
      <w:pPr>
        <w:pStyle w:val="29"/>
        <w:rPr>
          <w:rFonts w:hint="default"/>
          <w:lang w:val="en-US" w:eastAsia="zh-CN"/>
        </w:rPr>
      </w:pPr>
      <w:r>
        <w:rPr>
          <w:rFonts w:hint="eastAsia"/>
          <w:lang w:val="en-US" w:eastAsia="zh-CN"/>
        </w:rPr>
        <w:t>备品备件管理员</w:t>
      </w:r>
      <w:r>
        <w:rPr>
          <w:rFonts w:hint="default"/>
          <w:lang w:val="en-US" w:eastAsia="zh-CN"/>
        </w:rPr>
        <w:t>需详细记录领用信息，</w:t>
      </w:r>
      <w:r>
        <w:rPr>
          <w:rFonts w:hint="eastAsia"/>
          <w:lang w:val="en-US" w:eastAsia="zh-CN"/>
        </w:rPr>
        <w:t>采购专员</w:t>
      </w:r>
      <w:r>
        <w:rPr>
          <w:rFonts w:hint="default"/>
          <w:lang w:val="en-US" w:eastAsia="zh-CN"/>
        </w:rPr>
        <w:t>负责跟踪采购及物流状态，确保备件及时送达现场。</w:t>
      </w:r>
    </w:p>
    <w:p w14:paraId="476200F0">
      <w:pPr>
        <w:pStyle w:val="29"/>
        <w:rPr>
          <w:rFonts w:hint="default"/>
          <w:lang w:val="en-US" w:eastAsia="zh-CN"/>
        </w:rPr>
      </w:pPr>
      <w:r>
        <w:rPr>
          <w:rFonts w:hint="default"/>
          <w:lang w:val="en-US" w:eastAsia="zh-CN"/>
        </w:rPr>
        <w:t>现场更换下的坏件必须按时返回公司，并办理退库手续。</w:t>
      </w:r>
    </w:p>
    <w:p w14:paraId="61BB8B39">
      <w:pPr>
        <w:pStyle w:val="30"/>
        <w:bidi w:val="0"/>
        <w:rPr>
          <w:rFonts w:hint="default"/>
          <w:lang w:val="en-US" w:eastAsia="zh-CN"/>
        </w:rPr>
      </w:pPr>
      <w:bookmarkStart w:id="16" w:name="_Toc27283"/>
      <w:r>
        <w:rPr>
          <w:rFonts w:hint="default"/>
          <w:lang w:val="en-US" w:eastAsia="zh-CN"/>
        </w:rPr>
        <w:t>备件计划管理</w:t>
      </w:r>
      <w:bookmarkEnd w:id="16"/>
    </w:p>
    <w:p w14:paraId="7BF78FB1">
      <w:pPr>
        <w:pStyle w:val="29"/>
        <w:rPr>
          <w:rFonts w:hint="default"/>
          <w:lang w:val="en-US" w:eastAsia="zh-CN"/>
        </w:rPr>
      </w:pPr>
      <w:r>
        <w:rPr>
          <w:rFonts w:hint="default"/>
          <w:lang w:val="en-US" w:eastAsia="zh-CN"/>
        </w:rPr>
        <w:t>日常采购计划：</w:t>
      </w:r>
      <w:r>
        <w:rPr>
          <w:rFonts w:hint="eastAsia"/>
          <w:lang w:val="en-US" w:eastAsia="zh-CN"/>
        </w:rPr>
        <w:t>备品备件管理员</w:t>
      </w:r>
      <w:r>
        <w:rPr>
          <w:rFonts w:hint="default"/>
          <w:lang w:val="en-US" w:eastAsia="zh-CN"/>
        </w:rPr>
        <w:t>根据季度盘点结果和标准库存量，对低于安全库存的备件发起补库采购。</w:t>
      </w:r>
    </w:p>
    <w:p w14:paraId="3B5C5DCF">
      <w:pPr>
        <w:pStyle w:val="29"/>
        <w:rPr>
          <w:rFonts w:hint="default"/>
          <w:lang w:val="en-US" w:eastAsia="zh-CN"/>
        </w:rPr>
      </w:pPr>
      <w:r>
        <w:rPr>
          <w:rFonts w:hint="default"/>
          <w:lang w:val="en-US" w:eastAsia="zh-CN"/>
        </w:rPr>
        <w:t>紧急采购计划：对未在标准库存内、且急需的备件，由</w:t>
      </w:r>
      <w:r>
        <w:rPr>
          <w:rFonts w:hint="eastAsia"/>
          <w:lang w:val="en-US" w:eastAsia="zh-CN"/>
        </w:rPr>
        <w:t>备品备件管理员</w:t>
      </w:r>
      <w:r>
        <w:rPr>
          <w:rFonts w:hint="default"/>
          <w:lang w:val="en-US" w:eastAsia="zh-CN"/>
        </w:rPr>
        <w:t>编制《采购申请单》，启动紧急采购流程。</w:t>
      </w:r>
    </w:p>
    <w:p w14:paraId="5166853D">
      <w:pPr>
        <w:pStyle w:val="29"/>
        <w:rPr>
          <w:rFonts w:hint="default"/>
          <w:lang w:val="en-US" w:eastAsia="zh-CN"/>
        </w:rPr>
      </w:pPr>
      <w:r>
        <w:rPr>
          <w:rFonts w:hint="default"/>
          <w:lang w:val="en-US" w:eastAsia="zh-CN"/>
        </w:rPr>
        <w:t>所有计划均需按规定权限审批后，由</w:t>
      </w:r>
      <w:r>
        <w:rPr>
          <w:rFonts w:hint="eastAsia"/>
          <w:lang w:val="en-US" w:eastAsia="zh-CN"/>
        </w:rPr>
        <w:t>采购专员</w:t>
      </w:r>
      <w:r>
        <w:rPr>
          <w:rFonts w:hint="default"/>
          <w:lang w:val="en-US" w:eastAsia="zh-CN"/>
        </w:rPr>
        <w:t>执行。</w:t>
      </w:r>
    </w:p>
    <w:p w14:paraId="0C0BB865">
      <w:pPr>
        <w:pStyle w:val="30"/>
        <w:bidi w:val="0"/>
        <w:rPr>
          <w:rFonts w:hint="default"/>
          <w:lang w:val="en-US" w:eastAsia="zh-CN"/>
        </w:rPr>
      </w:pPr>
      <w:bookmarkStart w:id="17" w:name="_Toc25636"/>
      <w:r>
        <w:rPr>
          <w:rFonts w:hint="default"/>
          <w:lang w:val="en-US" w:eastAsia="zh-CN"/>
        </w:rPr>
        <w:t>采购及供应商管理</w:t>
      </w:r>
      <w:bookmarkEnd w:id="17"/>
    </w:p>
    <w:p w14:paraId="7872D438">
      <w:pPr>
        <w:pStyle w:val="29"/>
        <w:rPr>
          <w:rFonts w:hint="default"/>
          <w:lang w:val="en-US" w:eastAsia="zh-CN"/>
        </w:rPr>
      </w:pPr>
      <w:r>
        <w:rPr>
          <w:rFonts w:hint="default"/>
          <w:lang w:val="en-US" w:eastAsia="zh-CN"/>
        </w:rPr>
        <w:t>采购须从《合格供方名录》中优先选择供应商。首次采购的关键物资，需经过样品测试与小批量试用。</w:t>
      </w:r>
    </w:p>
    <w:p w14:paraId="03EA144F">
      <w:pPr>
        <w:pStyle w:val="29"/>
        <w:rPr>
          <w:rFonts w:hint="default"/>
          <w:lang w:val="en-US" w:eastAsia="zh-CN"/>
        </w:rPr>
      </w:pPr>
      <w:r>
        <w:rPr>
          <w:rFonts w:hint="default"/>
          <w:lang w:val="en-US" w:eastAsia="zh-CN"/>
        </w:rPr>
        <w:t>采购合同应明确品名、规格、技术标准、验收条件、违约责任及供货期限等条款。</w:t>
      </w:r>
    </w:p>
    <w:p w14:paraId="351660AC">
      <w:pPr>
        <w:pStyle w:val="29"/>
        <w:rPr>
          <w:rFonts w:hint="default"/>
          <w:lang w:val="en-US" w:eastAsia="zh-CN"/>
        </w:rPr>
      </w:pPr>
      <w:r>
        <w:rPr>
          <w:rFonts w:hint="default"/>
          <w:lang w:val="en-US" w:eastAsia="zh-CN"/>
        </w:rPr>
        <w:t>采购过程的控制需严格执行公司《财务收支审批权限规定》及《采购合同管理办法》。</w:t>
      </w:r>
    </w:p>
    <w:p w14:paraId="72E045B3">
      <w:pPr>
        <w:pStyle w:val="30"/>
        <w:bidi w:val="0"/>
        <w:rPr>
          <w:rFonts w:hint="default"/>
          <w:lang w:val="en-US" w:eastAsia="zh-CN"/>
        </w:rPr>
      </w:pPr>
      <w:bookmarkStart w:id="18" w:name="_Toc31034"/>
      <w:r>
        <w:rPr>
          <w:rFonts w:hint="default"/>
          <w:lang w:val="en-US" w:eastAsia="zh-CN"/>
        </w:rPr>
        <w:t>备件响应级别</w:t>
      </w:r>
      <w:bookmarkEnd w:id="18"/>
    </w:p>
    <w:p w14:paraId="61248180">
      <w:pPr>
        <w:pStyle w:val="29"/>
        <w:rPr>
          <w:rFonts w:hint="default"/>
          <w:lang w:val="en-US" w:eastAsia="zh-CN"/>
        </w:rPr>
      </w:pPr>
      <w:r>
        <w:rPr>
          <w:rFonts w:hint="default"/>
          <w:lang w:val="en-US" w:eastAsia="zh-CN"/>
        </w:rPr>
        <w:t>根据故障级别与服务合同约定，实行分级响应：</w:t>
      </w:r>
    </w:p>
    <w:p w14:paraId="70CA8FED">
      <w:pPr>
        <w:pStyle w:val="29"/>
        <w:rPr>
          <w:rFonts w:hint="default"/>
          <w:lang w:val="en-US" w:eastAsia="zh-CN"/>
        </w:rPr>
      </w:pPr>
      <w:r>
        <w:rPr>
          <w:rFonts w:hint="default"/>
          <w:lang w:val="en-US" w:eastAsia="zh-CN"/>
        </w:rPr>
        <w:t>一级响应： 12小时内寄送备件，重大故障时送达现场不超过12小时。</w:t>
      </w:r>
    </w:p>
    <w:p w14:paraId="6B72AC1F">
      <w:pPr>
        <w:pStyle w:val="29"/>
        <w:rPr>
          <w:rFonts w:hint="default"/>
          <w:lang w:val="en-US" w:eastAsia="zh-CN"/>
        </w:rPr>
      </w:pPr>
      <w:r>
        <w:rPr>
          <w:rFonts w:hint="default"/>
          <w:lang w:val="en-US" w:eastAsia="zh-CN"/>
        </w:rPr>
        <w:t>二级响应： 16小时内寄送备件，重大故障时送达现场不超过24小时。</w:t>
      </w:r>
    </w:p>
    <w:p w14:paraId="182229C7">
      <w:pPr>
        <w:pStyle w:val="29"/>
        <w:rPr>
          <w:rFonts w:hint="default"/>
          <w:lang w:val="en-US" w:eastAsia="zh-CN"/>
        </w:rPr>
      </w:pPr>
      <w:r>
        <w:rPr>
          <w:rFonts w:hint="default"/>
          <w:lang w:val="en-US" w:eastAsia="zh-CN"/>
        </w:rPr>
        <w:t>三级响应： 24小时内寄送备件，重大故障时送达现场不超过48小时（不含跨省时间）。</w:t>
      </w:r>
    </w:p>
    <w:p w14:paraId="522A90CB">
      <w:pPr>
        <w:pStyle w:val="29"/>
        <w:rPr>
          <w:rFonts w:hint="default"/>
          <w:lang w:val="en-US" w:eastAsia="zh-CN"/>
        </w:rPr>
      </w:pPr>
      <w:r>
        <w:rPr>
          <w:rFonts w:hint="default"/>
          <w:lang w:val="en-US" w:eastAsia="zh-CN"/>
        </w:rPr>
        <w:t>现场仓储项目： 24小时响应，4小时内完成备件更换。</w:t>
      </w:r>
    </w:p>
    <w:p w14:paraId="761B003F">
      <w:pPr>
        <w:pStyle w:val="30"/>
        <w:bidi w:val="0"/>
        <w:rPr>
          <w:rFonts w:hint="default"/>
          <w:lang w:val="en-US" w:eastAsia="zh-CN"/>
        </w:rPr>
      </w:pPr>
      <w:bookmarkStart w:id="19" w:name="_Toc5644"/>
      <w:r>
        <w:rPr>
          <w:rFonts w:hint="default"/>
          <w:lang w:val="en-US" w:eastAsia="zh-CN"/>
        </w:rPr>
        <w:t>出入库管理</w:t>
      </w:r>
      <w:bookmarkEnd w:id="19"/>
    </w:p>
    <w:p w14:paraId="7C60C32D">
      <w:pPr>
        <w:pStyle w:val="29"/>
        <w:rPr>
          <w:rFonts w:hint="default"/>
          <w:lang w:val="en-US" w:eastAsia="zh-CN"/>
        </w:rPr>
      </w:pPr>
      <w:r>
        <w:rPr>
          <w:rFonts w:hint="default"/>
          <w:lang w:val="en-US" w:eastAsia="zh-CN"/>
        </w:rPr>
        <w:t xml:space="preserve">到货确认： </w:t>
      </w:r>
      <w:r>
        <w:rPr>
          <w:rFonts w:hint="eastAsia"/>
          <w:lang w:val="en-US" w:eastAsia="zh-CN"/>
        </w:rPr>
        <w:t>采购专员</w:t>
      </w:r>
      <w:r>
        <w:rPr>
          <w:rFonts w:hint="default"/>
          <w:lang w:val="en-US" w:eastAsia="zh-CN"/>
        </w:rPr>
        <w:t>核对到货信息与包装外观。</w:t>
      </w:r>
    </w:p>
    <w:p w14:paraId="194E9986">
      <w:pPr>
        <w:pStyle w:val="29"/>
        <w:rPr>
          <w:rFonts w:hint="default"/>
          <w:lang w:val="en-US" w:eastAsia="zh-CN"/>
        </w:rPr>
      </w:pPr>
      <w:r>
        <w:rPr>
          <w:rFonts w:hint="default"/>
          <w:lang w:val="en-US" w:eastAsia="zh-CN"/>
        </w:rPr>
        <w:t>到货检验： 由质量管理部依据规程进行检验，并出具《进货检验单》。</w:t>
      </w:r>
    </w:p>
    <w:p w14:paraId="39798911">
      <w:pPr>
        <w:pStyle w:val="29"/>
        <w:rPr>
          <w:rFonts w:hint="default"/>
          <w:lang w:val="en-US" w:eastAsia="zh-CN"/>
        </w:rPr>
      </w:pPr>
      <w:r>
        <w:rPr>
          <w:rFonts w:hint="default"/>
          <w:lang w:val="en-US" w:eastAsia="zh-CN"/>
        </w:rPr>
        <w:t>设备入库： 凭合格《进货检验单》办理入库，仓库管理员负责分类、安全存放。</w:t>
      </w:r>
    </w:p>
    <w:p w14:paraId="6AAFC2DA">
      <w:pPr>
        <w:pStyle w:val="29"/>
        <w:rPr>
          <w:rFonts w:hint="default"/>
          <w:lang w:val="en-US" w:eastAsia="zh-CN"/>
        </w:rPr>
      </w:pPr>
      <w:r>
        <w:rPr>
          <w:rFonts w:hint="default"/>
          <w:lang w:val="en-US" w:eastAsia="zh-CN"/>
        </w:rPr>
        <w:t>设备出库： 凭经审批的《发货通知单》办理出库手续。</w:t>
      </w:r>
    </w:p>
    <w:p w14:paraId="343ADB54">
      <w:pPr>
        <w:pStyle w:val="29"/>
        <w:rPr>
          <w:rFonts w:hint="default"/>
          <w:lang w:val="en-US" w:eastAsia="zh-CN"/>
        </w:rPr>
      </w:pPr>
      <w:r>
        <w:rPr>
          <w:rFonts w:hint="default"/>
          <w:lang w:val="en-US" w:eastAsia="zh-CN"/>
        </w:rPr>
        <w:t>物流发货： 物流组负责核对、包装、发货并通知收货人物流信息。</w:t>
      </w:r>
    </w:p>
    <w:p w14:paraId="18259014">
      <w:pPr>
        <w:pStyle w:val="30"/>
        <w:bidi w:val="0"/>
        <w:rPr>
          <w:rFonts w:hint="default"/>
          <w:lang w:val="en-US" w:eastAsia="zh-CN"/>
        </w:rPr>
      </w:pPr>
      <w:bookmarkStart w:id="20" w:name="_Toc18188"/>
      <w:r>
        <w:rPr>
          <w:rFonts w:hint="default"/>
          <w:lang w:val="en-US" w:eastAsia="zh-CN"/>
        </w:rPr>
        <w:t>坏件处理</w:t>
      </w:r>
      <w:bookmarkEnd w:id="20"/>
    </w:p>
    <w:p w14:paraId="384D8480">
      <w:pPr>
        <w:pStyle w:val="29"/>
        <w:rPr>
          <w:rFonts w:hint="default"/>
          <w:lang w:val="en-US" w:eastAsia="zh-CN"/>
        </w:rPr>
      </w:pPr>
      <w:r>
        <w:rPr>
          <w:rFonts w:hint="default"/>
          <w:lang w:val="en-US" w:eastAsia="zh-CN"/>
        </w:rPr>
        <w:t>现场返回的坏件须经质量管理部检验，并据此办理退库。</w:t>
      </w:r>
    </w:p>
    <w:p w14:paraId="4F48FB2F">
      <w:pPr>
        <w:pStyle w:val="29"/>
        <w:rPr>
          <w:rFonts w:hint="default"/>
          <w:lang w:val="en-US" w:eastAsia="zh-CN"/>
        </w:rPr>
      </w:pPr>
      <w:r>
        <w:rPr>
          <w:rFonts w:hint="default"/>
          <w:lang w:val="en-US" w:eastAsia="zh-CN"/>
        </w:rPr>
        <w:t>质量管理部根据《坏件报废管理规定》判定报废或维修。</w:t>
      </w:r>
    </w:p>
    <w:p w14:paraId="6A81FCC6">
      <w:pPr>
        <w:pStyle w:val="29"/>
        <w:rPr>
          <w:rFonts w:hint="default"/>
          <w:lang w:val="en-US" w:eastAsia="zh-CN"/>
        </w:rPr>
      </w:pPr>
      <w:r>
        <w:rPr>
          <w:rFonts w:hint="default"/>
          <w:lang w:val="en-US" w:eastAsia="zh-CN"/>
        </w:rPr>
        <w:t>可维修坏件由采购组协调维修，修复后重新检验入库。</w:t>
      </w:r>
    </w:p>
    <w:p w14:paraId="425108B5">
      <w:pPr>
        <w:pStyle w:val="30"/>
        <w:bidi w:val="0"/>
        <w:rPr>
          <w:rFonts w:hint="default"/>
          <w:lang w:val="en-US" w:eastAsia="zh-CN"/>
        </w:rPr>
      </w:pPr>
      <w:bookmarkStart w:id="21" w:name="_Toc2712"/>
      <w:r>
        <w:rPr>
          <w:rFonts w:hint="default"/>
          <w:lang w:val="en-US" w:eastAsia="zh-CN"/>
        </w:rPr>
        <w:t>库存盘点管理</w:t>
      </w:r>
      <w:bookmarkEnd w:id="21"/>
    </w:p>
    <w:p w14:paraId="2851CD30">
      <w:pPr>
        <w:pStyle w:val="29"/>
        <w:rPr>
          <w:rFonts w:hint="default"/>
          <w:lang w:val="en-US" w:eastAsia="zh-CN"/>
        </w:rPr>
      </w:pPr>
      <w:r>
        <w:rPr>
          <w:rFonts w:hint="default"/>
          <w:lang w:val="en-US" w:eastAsia="zh-CN"/>
        </w:rPr>
        <w:t>季度盘点：</w:t>
      </w:r>
      <w:r>
        <w:rPr>
          <w:rFonts w:hint="eastAsia"/>
          <w:lang w:val="en-US" w:eastAsia="zh-CN"/>
        </w:rPr>
        <w:t>备品备件管理员</w:t>
      </w:r>
      <w:r>
        <w:rPr>
          <w:rFonts w:hint="default"/>
          <w:lang w:val="en-US" w:eastAsia="zh-CN"/>
        </w:rPr>
        <w:t>执行，形成《季度备件库盘点表》，作为补库依据。</w:t>
      </w:r>
    </w:p>
    <w:p w14:paraId="5C178F38">
      <w:pPr>
        <w:pStyle w:val="29"/>
        <w:rPr>
          <w:rFonts w:hint="default"/>
          <w:lang w:val="en-US" w:eastAsia="zh-CN"/>
        </w:rPr>
      </w:pPr>
      <w:r>
        <w:rPr>
          <w:rFonts w:hint="default"/>
          <w:lang w:val="en-US" w:eastAsia="zh-CN"/>
        </w:rPr>
        <w:t>年度盘点：依据公司统一安排进行，做到明码标识、账物相符。出现盘盈盘亏需查明原因，按规定流程审批处理。</w:t>
      </w:r>
    </w:p>
    <w:p w14:paraId="7D1CD5DE">
      <w:pPr>
        <w:pStyle w:val="30"/>
        <w:bidi w:val="0"/>
        <w:rPr>
          <w:rFonts w:hint="default"/>
          <w:lang w:val="en-US" w:eastAsia="zh-CN"/>
        </w:rPr>
      </w:pPr>
      <w:bookmarkStart w:id="22" w:name="_Toc13695"/>
      <w:r>
        <w:rPr>
          <w:rFonts w:hint="default"/>
          <w:lang w:val="en-US" w:eastAsia="zh-CN"/>
        </w:rPr>
        <w:t>可用性管理</w:t>
      </w:r>
      <w:bookmarkEnd w:id="22"/>
    </w:p>
    <w:p w14:paraId="79A995AB">
      <w:pPr>
        <w:pStyle w:val="29"/>
        <w:rPr>
          <w:rFonts w:hint="default"/>
          <w:lang w:val="en-US" w:eastAsia="zh-CN"/>
        </w:rPr>
      </w:pPr>
      <w:r>
        <w:rPr>
          <w:rFonts w:hint="eastAsia"/>
          <w:lang w:val="en-US" w:eastAsia="zh-CN"/>
        </w:rPr>
        <w:t>备品备件管理员</w:t>
      </w:r>
      <w:r>
        <w:rPr>
          <w:rFonts w:hint="default"/>
          <w:lang w:val="en-US" w:eastAsia="zh-CN"/>
        </w:rPr>
        <w:t>需定期对库存备件进行可用性检查，并提交《可用性检查报告》，确保备件处于良好状态。</w:t>
      </w:r>
    </w:p>
    <w:p w14:paraId="646CB7F1">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23" w:name="bookmark3"/>
      <w:bookmarkEnd w:id="23"/>
      <w:bookmarkStart w:id="24" w:name="_Toc17424"/>
      <w:bookmarkStart w:id="25" w:name="_Toc10395"/>
      <w:r>
        <w:rPr>
          <w:rStyle w:val="38"/>
          <w:rFonts w:hint="eastAsia" w:eastAsia="宋体"/>
          <w:lang w:val="en-US" w:eastAsia="zh-CN"/>
        </w:rPr>
        <w:t>附则</w:t>
      </w:r>
      <w:bookmarkEnd w:id="24"/>
      <w:bookmarkEnd w:id="25"/>
    </w:p>
    <w:p w14:paraId="282C941D">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运维</w:t>
      </w:r>
      <w:r>
        <w:rPr>
          <w:rFonts w:hint="eastAsia" w:ascii="宋体" w:hAnsi="宋体" w:eastAsia="宋体" w:cs="宋体"/>
          <w:spacing w:val="-1"/>
          <w:sz w:val="24"/>
          <w:szCs w:val="24"/>
          <w:lang w:eastAsia="zh-CN"/>
        </w:rPr>
        <w:t>部</w:t>
      </w:r>
      <w:r>
        <w:rPr>
          <w:rFonts w:ascii="宋体" w:hAnsi="宋体" w:eastAsia="宋体" w:cs="宋体"/>
          <w:spacing w:val="-1"/>
          <w:sz w:val="24"/>
          <w:szCs w:val="24"/>
        </w:rPr>
        <w:t>。</w:t>
      </w:r>
    </w:p>
    <w:p w14:paraId="55478B85">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29412FC6">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6" w:name="bookmark14"/>
      <w:bookmarkEnd w:id="26"/>
      <w:bookmarkStart w:id="27" w:name="_Toc13956"/>
      <w:r>
        <w:rPr>
          <w:rFonts w:hint="eastAsia"/>
          <w:lang w:val="en-US" w:eastAsia="zh-CN"/>
        </w:rPr>
        <w:t>附件</w:t>
      </w:r>
      <w:bookmarkEnd w:id="27"/>
    </w:p>
    <w:p w14:paraId="7EBDEDB9">
      <w:pPr>
        <w:pStyle w:val="29"/>
        <w:numPr>
          <w:ilvl w:val="0"/>
          <w:numId w:val="5"/>
        </w:numPr>
        <w:ind w:left="425" w:leftChars="0" w:hanging="425" w:firstLineChars="0"/>
        <w:rPr>
          <w:rFonts w:hint="default"/>
          <w:lang w:val="en-US" w:eastAsia="zh-CN"/>
        </w:rPr>
      </w:pPr>
      <w:r>
        <w:rPr>
          <w:rFonts w:hint="default"/>
          <w:lang w:val="en-US" w:eastAsia="zh-CN"/>
        </w:rPr>
        <w:t>《备品备件需求申请表》</w:t>
      </w:r>
    </w:p>
    <w:p w14:paraId="59E549FD">
      <w:pPr>
        <w:pStyle w:val="29"/>
        <w:numPr>
          <w:ilvl w:val="0"/>
          <w:numId w:val="5"/>
        </w:numPr>
        <w:ind w:left="425" w:leftChars="0" w:hanging="425" w:firstLineChars="0"/>
        <w:rPr>
          <w:rFonts w:hint="default"/>
          <w:lang w:val="en-US" w:eastAsia="zh-CN"/>
        </w:rPr>
      </w:pPr>
      <w:r>
        <w:rPr>
          <w:rFonts w:hint="default"/>
          <w:lang w:val="en-US" w:eastAsia="zh-CN"/>
        </w:rPr>
        <w:t>《出库受控单》</w:t>
      </w:r>
    </w:p>
    <w:p w14:paraId="518F6C32">
      <w:pPr>
        <w:pStyle w:val="29"/>
        <w:numPr>
          <w:ilvl w:val="0"/>
          <w:numId w:val="5"/>
        </w:numPr>
        <w:ind w:left="425" w:leftChars="0" w:hanging="425" w:firstLineChars="0"/>
        <w:rPr>
          <w:rFonts w:hint="default"/>
          <w:lang w:val="en-US" w:eastAsia="zh-CN"/>
        </w:rPr>
      </w:pPr>
      <w:r>
        <w:rPr>
          <w:rFonts w:hint="default"/>
          <w:lang w:val="en-US" w:eastAsia="zh-CN"/>
        </w:rPr>
        <w:t>《季度备件库盘点表》</w:t>
      </w:r>
    </w:p>
    <w:p w14:paraId="01FCF333">
      <w:pPr>
        <w:pStyle w:val="29"/>
        <w:numPr>
          <w:ilvl w:val="0"/>
          <w:numId w:val="5"/>
        </w:numPr>
        <w:ind w:left="425" w:leftChars="0" w:hanging="425" w:firstLineChars="0"/>
        <w:rPr>
          <w:rFonts w:hint="default"/>
          <w:lang w:val="en-US" w:eastAsia="zh-CN"/>
        </w:rPr>
      </w:pPr>
      <w:r>
        <w:rPr>
          <w:rFonts w:hint="default"/>
          <w:lang w:val="en-US" w:eastAsia="zh-CN"/>
        </w:rPr>
        <w:t>《可用性检查报告》</w:t>
      </w:r>
    </w:p>
    <w:p w14:paraId="4863664D">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8" w:name="_Toc20223"/>
      <w:r>
        <w:rPr>
          <w:rFonts w:hint="eastAsia"/>
          <w:lang w:val="en-US" w:eastAsia="zh-CN"/>
        </w:rPr>
        <w:t>记录</w:t>
      </w:r>
      <w:bookmarkEnd w:id="28"/>
    </w:p>
    <w:p w14:paraId="2D226BFF">
      <w:pPr>
        <w:pStyle w:val="29"/>
        <w:numPr>
          <w:ilvl w:val="0"/>
          <w:numId w:val="6"/>
        </w:numPr>
        <w:ind w:left="425" w:leftChars="0" w:hanging="425" w:firstLineChars="0"/>
        <w:rPr>
          <w:rFonts w:hint="default"/>
          <w:lang w:val="en-US" w:eastAsia="zh-CN"/>
        </w:rPr>
      </w:pPr>
      <w:r>
        <w:rPr>
          <w:rFonts w:hint="default"/>
          <w:lang w:val="en-US" w:eastAsia="zh-CN"/>
        </w:rPr>
        <w:t>《进货检验单》</w:t>
      </w:r>
    </w:p>
    <w:p w14:paraId="013C5D67">
      <w:pPr>
        <w:pStyle w:val="29"/>
        <w:numPr>
          <w:ilvl w:val="0"/>
          <w:numId w:val="6"/>
        </w:numPr>
        <w:ind w:left="425" w:leftChars="0" w:hanging="425" w:firstLineChars="0"/>
        <w:rPr>
          <w:rFonts w:hint="default"/>
          <w:lang w:val="en-US" w:eastAsia="zh-CN"/>
        </w:rPr>
      </w:pPr>
      <w:r>
        <w:rPr>
          <w:rFonts w:hint="default"/>
          <w:lang w:val="en-US" w:eastAsia="zh-CN"/>
        </w:rPr>
        <w:t>《发货通知单》</w:t>
      </w:r>
    </w:p>
    <w:p w14:paraId="6530ADCF">
      <w:pPr>
        <w:pStyle w:val="29"/>
        <w:numPr>
          <w:ilvl w:val="0"/>
          <w:numId w:val="6"/>
        </w:numPr>
        <w:ind w:left="425" w:leftChars="0" w:hanging="425" w:firstLineChars="0"/>
        <w:rPr>
          <w:rFonts w:hint="default"/>
          <w:lang w:val="en-US" w:eastAsia="zh-CN"/>
        </w:rPr>
      </w:pPr>
      <w:r>
        <w:rPr>
          <w:rFonts w:hint="default"/>
          <w:lang w:val="en-US" w:eastAsia="zh-CN"/>
        </w:rPr>
        <w:t>《采购申请单》</w:t>
      </w:r>
    </w:p>
    <w:p w14:paraId="05F117FD">
      <w:pPr>
        <w:pStyle w:val="29"/>
        <w:numPr>
          <w:ilvl w:val="0"/>
          <w:numId w:val="6"/>
        </w:numPr>
        <w:ind w:left="425" w:leftChars="0" w:hanging="425" w:firstLineChars="0"/>
        <w:rPr>
          <w:rFonts w:hint="default"/>
          <w:lang w:val="en-US" w:eastAsia="zh-CN"/>
        </w:rPr>
      </w:pPr>
      <w:r>
        <w:rPr>
          <w:rFonts w:hint="default"/>
          <w:lang w:val="en-US" w:eastAsia="zh-CN"/>
        </w:rPr>
        <w:t>《坏件退库送检单》</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19F5D">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drawing>
        <wp:anchor distT="0" distB="0" distL="114300" distR="114300" simplePos="0" relativeHeight="251660288" behindDoc="0" locked="0" layoutInCell="1" allowOverlap="1">
          <wp:simplePos x="0" y="0"/>
          <wp:positionH relativeFrom="column">
            <wp:posOffset>67310</wp:posOffset>
          </wp:positionH>
          <wp:positionV relativeFrom="paragraph">
            <wp:posOffset>-345440</wp:posOffset>
          </wp:positionV>
          <wp:extent cx="718820" cy="461010"/>
          <wp:effectExtent l="0" t="0" r="12700" b="11430"/>
          <wp:wrapNone/>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1"/>
                  <a:stretch>
                    <a:fillRect/>
                  </a:stretch>
                </pic:blipFill>
                <pic:spPr>
                  <a:xfrm>
                    <a:off x="0" y="0"/>
                    <a:ext cx="718820" cy="461010"/>
                  </a:xfrm>
                  <a:prstGeom prst="rect">
                    <a:avLst/>
                  </a:prstGeom>
                </pic:spPr>
              </pic:pic>
            </a:graphicData>
          </a:graphic>
        </wp:anchor>
      </w:drawing>
    </w: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阿克苏智汇人才服务</w:t>
    </w:r>
    <w:r>
      <w:rPr>
        <w:rFonts w:hint="eastAsia" w:eastAsiaTheme="minorEastAsia"/>
        <w:lang w:eastAsia="zh-CN"/>
      </w:rPr>
      <w:t>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5585BF"/>
    <w:multiLevelType w:val="singleLevel"/>
    <w:tmpl w:val="8D5585BF"/>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CB627434"/>
    <w:multiLevelType w:val="singleLevel"/>
    <w:tmpl w:val="CB627434"/>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abstractNum w:abstractNumId="4">
    <w:nsid w:val="4ED3290B"/>
    <w:multiLevelType w:val="singleLevel"/>
    <w:tmpl w:val="4ED3290B"/>
    <w:lvl w:ilvl="0" w:tentative="0">
      <w:start w:val="1"/>
      <w:numFmt w:val="decimal"/>
      <w:lvlText w:val="%1."/>
      <w:lvlJc w:val="left"/>
      <w:pPr>
        <w:ind w:left="425" w:hanging="425"/>
      </w:pPr>
      <w:rPr>
        <w:rFonts w:hint="default"/>
      </w:rPr>
    </w:lvl>
  </w:abstractNum>
  <w:abstractNum w:abstractNumId="5">
    <w:nsid w:val="57110BF7"/>
    <w:multiLevelType w:val="singleLevel"/>
    <w:tmpl w:val="57110BF7"/>
    <w:lvl w:ilvl="0" w:tentative="0">
      <w:start w:val="1"/>
      <w:numFmt w:val="decimal"/>
      <w:lvlText w:val="%1."/>
      <w:lvlJc w:val="left"/>
      <w:pPr>
        <w:ind w:left="425" w:hanging="425"/>
      </w:pPr>
      <w:rPr>
        <w:rFonts w:hint="default"/>
      </w:rPr>
    </w:lvl>
  </w:abstractNum>
  <w:num w:numId="1">
    <w:abstractNumId w:val="1"/>
  </w:num>
  <w:num w:numId="2">
    <w:abstractNumId w:val="4"/>
  </w:num>
  <w:num w:numId="3">
    <w:abstractNumId w:val="2"/>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55574E"/>
    <w:rsid w:val="0104303E"/>
    <w:rsid w:val="011D2710"/>
    <w:rsid w:val="018605C8"/>
    <w:rsid w:val="01E07299"/>
    <w:rsid w:val="0211124F"/>
    <w:rsid w:val="02935F20"/>
    <w:rsid w:val="029C58B6"/>
    <w:rsid w:val="02CE3596"/>
    <w:rsid w:val="02EA4873"/>
    <w:rsid w:val="040604A9"/>
    <w:rsid w:val="05980692"/>
    <w:rsid w:val="073D05DE"/>
    <w:rsid w:val="07660A33"/>
    <w:rsid w:val="080D4B60"/>
    <w:rsid w:val="085A1CE8"/>
    <w:rsid w:val="08A728CF"/>
    <w:rsid w:val="08C07E24"/>
    <w:rsid w:val="09975029"/>
    <w:rsid w:val="09D65B51"/>
    <w:rsid w:val="09F2400E"/>
    <w:rsid w:val="09FC6C3A"/>
    <w:rsid w:val="0CF12BAD"/>
    <w:rsid w:val="0F4F57A4"/>
    <w:rsid w:val="0FD115EF"/>
    <w:rsid w:val="10C36704"/>
    <w:rsid w:val="115A198B"/>
    <w:rsid w:val="127C6B6A"/>
    <w:rsid w:val="130628D8"/>
    <w:rsid w:val="131B2827"/>
    <w:rsid w:val="139879D4"/>
    <w:rsid w:val="13D604FC"/>
    <w:rsid w:val="13F35552"/>
    <w:rsid w:val="14B42767"/>
    <w:rsid w:val="15AB77B5"/>
    <w:rsid w:val="15CC725A"/>
    <w:rsid w:val="15CC7E09"/>
    <w:rsid w:val="15EC2259"/>
    <w:rsid w:val="16B0772A"/>
    <w:rsid w:val="170D06D9"/>
    <w:rsid w:val="17103D25"/>
    <w:rsid w:val="17710C68"/>
    <w:rsid w:val="17BE19D3"/>
    <w:rsid w:val="17DF25E3"/>
    <w:rsid w:val="18846779"/>
    <w:rsid w:val="18F465E3"/>
    <w:rsid w:val="19E020D4"/>
    <w:rsid w:val="1A9923D9"/>
    <w:rsid w:val="1BC709D8"/>
    <w:rsid w:val="1C746976"/>
    <w:rsid w:val="1D997E65"/>
    <w:rsid w:val="1E692834"/>
    <w:rsid w:val="1ED57D2E"/>
    <w:rsid w:val="1EFD1033"/>
    <w:rsid w:val="1FCB1131"/>
    <w:rsid w:val="20250841"/>
    <w:rsid w:val="20450EE3"/>
    <w:rsid w:val="205920E7"/>
    <w:rsid w:val="20D91840"/>
    <w:rsid w:val="215C6FE4"/>
    <w:rsid w:val="23A26E72"/>
    <w:rsid w:val="23DD436C"/>
    <w:rsid w:val="23FD59BD"/>
    <w:rsid w:val="24AA73A4"/>
    <w:rsid w:val="25056AE6"/>
    <w:rsid w:val="26C427F2"/>
    <w:rsid w:val="28F90ABD"/>
    <w:rsid w:val="2908648D"/>
    <w:rsid w:val="294F2DD3"/>
    <w:rsid w:val="2975663E"/>
    <w:rsid w:val="29E4351B"/>
    <w:rsid w:val="2A8B6C6D"/>
    <w:rsid w:val="2B1E0CAF"/>
    <w:rsid w:val="2B612949"/>
    <w:rsid w:val="2D4F15F3"/>
    <w:rsid w:val="2E500F2E"/>
    <w:rsid w:val="2F041F69"/>
    <w:rsid w:val="2FA84FEB"/>
    <w:rsid w:val="2FC11C09"/>
    <w:rsid w:val="300206D5"/>
    <w:rsid w:val="315076E8"/>
    <w:rsid w:val="333746BC"/>
    <w:rsid w:val="346C0F8D"/>
    <w:rsid w:val="350D601C"/>
    <w:rsid w:val="35DE67BA"/>
    <w:rsid w:val="36883480"/>
    <w:rsid w:val="36914A2B"/>
    <w:rsid w:val="3699743B"/>
    <w:rsid w:val="37145C07"/>
    <w:rsid w:val="375F2433"/>
    <w:rsid w:val="37971BCD"/>
    <w:rsid w:val="37DF17C6"/>
    <w:rsid w:val="37E666B0"/>
    <w:rsid w:val="38CD79B9"/>
    <w:rsid w:val="3914549F"/>
    <w:rsid w:val="3C265C15"/>
    <w:rsid w:val="3D5F4115"/>
    <w:rsid w:val="3E287A22"/>
    <w:rsid w:val="3E5A3954"/>
    <w:rsid w:val="3F2D2E17"/>
    <w:rsid w:val="40646D0C"/>
    <w:rsid w:val="40873B7A"/>
    <w:rsid w:val="40B11D0C"/>
    <w:rsid w:val="41DA54D8"/>
    <w:rsid w:val="426164FC"/>
    <w:rsid w:val="43223C0F"/>
    <w:rsid w:val="43234D21"/>
    <w:rsid w:val="4368266F"/>
    <w:rsid w:val="43996CCD"/>
    <w:rsid w:val="442E5667"/>
    <w:rsid w:val="449A71A0"/>
    <w:rsid w:val="45EE5265"/>
    <w:rsid w:val="46BF2EEE"/>
    <w:rsid w:val="472B0583"/>
    <w:rsid w:val="47BA5463"/>
    <w:rsid w:val="47BB1907"/>
    <w:rsid w:val="482074E7"/>
    <w:rsid w:val="484F2050"/>
    <w:rsid w:val="48FA020D"/>
    <w:rsid w:val="491F7C74"/>
    <w:rsid w:val="49B33C44"/>
    <w:rsid w:val="49CC1B61"/>
    <w:rsid w:val="4BE34F89"/>
    <w:rsid w:val="4BFB76A0"/>
    <w:rsid w:val="4C63431C"/>
    <w:rsid w:val="4D1711C1"/>
    <w:rsid w:val="4E0B149B"/>
    <w:rsid w:val="4EB946C7"/>
    <w:rsid w:val="4F6F1974"/>
    <w:rsid w:val="501F0559"/>
    <w:rsid w:val="503F29AA"/>
    <w:rsid w:val="50936F77"/>
    <w:rsid w:val="50BE0A71"/>
    <w:rsid w:val="511C5981"/>
    <w:rsid w:val="51AC22C1"/>
    <w:rsid w:val="51F0261E"/>
    <w:rsid w:val="53794425"/>
    <w:rsid w:val="5486504B"/>
    <w:rsid w:val="54CB7E3C"/>
    <w:rsid w:val="56004989"/>
    <w:rsid w:val="56097ACE"/>
    <w:rsid w:val="5632548A"/>
    <w:rsid w:val="56F760DC"/>
    <w:rsid w:val="57A06543"/>
    <w:rsid w:val="58675193"/>
    <w:rsid w:val="58767185"/>
    <w:rsid w:val="5A6610C0"/>
    <w:rsid w:val="5AFF7905"/>
    <w:rsid w:val="5B0B0058"/>
    <w:rsid w:val="5B85605C"/>
    <w:rsid w:val="5C3E620B"/>
    <w:rsid w:val="5D0D6A04"/>
    <w:rsid w:val="5D2E6280"/>
    <w:rsid w:val="5D6677C8"/>
    <w:rsid w:val="5E6A32E8"/>
    <w:rsid w:val="5E930A90"/>
    <w:rsid w:val="5EFB71CC"/>
    <w:rsid w:val="5F7F1015"/>
    <w:rsid w:val="613E7799"/>
    <w:rsid w:val="617E39E4"/>
    <w:rsid w:val="6200643D"/>
    <w:rsid w:val="62312EF8"/>
    <w:rsid w:val="62613CE0"/>
    <w:rsid w:val="640721AA"/>
    <w:rsid w:val="65030F77"/>
    <w:rsid w:val="652A5B5F"/>
    <w:rsid w:val="657F3B1C"/>
    <w:rsid w:val="659C092C"/>
    <w:rsid w:val="65C43C25"/>
    <w:rsid w:val="66E169F5"/>
    <w:rsid w:val="678C0773"/>
    <w:rsid w:val="68804644"/>
    <w:rsid w:val="696D1EDE"/>
    <w:rsid w:val="698F3ABF"/>
    <w:rsid w:val="69DB53BE"/>
    <w:rsid w:val="69DD52B6"/>
    <w:rsid w:val="6BAD2A66"/>
    <w:rsid w:val="6BF30DC0"/>
    <w:rsid w:val="6D834437"/>
    <w:rsid w:val="6DB46CBB"/>
    <w:rsid w:val="6E6623CD"/>
    <w:rsid w:val="6F887A72"/>
    <w:rsid w:val="6F9C4B1C"/>
    <w:rsid w:val="706933FF"/>
    <w:rsid w:val="711772FF"/>
    <w:rsid w:val="713003C1"/>
    <w:rsid w:val="7141437C"/>
    <w:rsid w:val="71E7506F"/>
    <w:rsid w:val="72F90BB3"/>
    <w:rsid w:val="73593BFF"/>
    <w:rsid w:val="73644352"/>
    <w:rsid w:val="73C7661F"/>
    <w:rsid w:val="749D5D6D"/>
    <w:rsid w:val="76960176"/>
    <w:rsid w:val="76F6721A"/>
    <w:rsid w:val="776C1A27"/>
    <w:rsid w:val="783E1615"/>
    <w:rsid w:val="78CA2EA9"/>
    <w:rsid w:val="78D1021F"/>
    <w:rsid w:val="78F148D9"/>
    <w:rsid w:val="7A1940E8"/>
    <w:rsid w:val="7A2F7467"/>
    <w:rsid w:val="7A7255A6"/>
    <w:rsid w:val="7AB43AB7"/>
    <w:rsid w:val="7B4E6013"/>
    <w:rsid w:val="7B5C70B9"/>
    <w:rsid w:val="7BD83B2F"/>
    <w:rsid w:val="7C066719"/>
    <w:rsid w:val="7C434C07"/>
    <w:rsid w:val="7D0050EB"/>
    <w:rsid w:val="7D0C7F34"/>
    <w:rsid w:val="7DA168CE"/>
    <w:rsid w:val="7DF905A7"/>
    <w:rsid w:val="7E086FD3"/>
    <w:rsid w:val="7F8244DD"/>
    <w:rsid w:val="7F9B10FB"/>
    <w:rsid w:val="7FE77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1952</Words>
  <Characters>2076</Characters>
  <Lines>0</Lines>
  <Paragraphs>0</Paragraphs>
  <TotalTime>0</TotalTime>
  <ScaleCrop>false</ScaleCrop>
  <LinksUpToDate>false</LinksUpToDate>
  <CharactersWithSpaces>2152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2025-10-20T09:06:00Z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