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最终软件库管理制度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306"/>
            </w:tabs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2939A15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3778E813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为规范公司运维服务所需软件资产的获取、存储、发布、使用及退役全过程，确保软件来源的合规性、版本的受控性及使用安全性，提高软件复用率与运维效率，降低软件许可与安全风险，特制定本制度。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34E3A152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本制度适用于公司运维服务活动中所使用的所有软件，包括系统软件、支撑软件、应用软件及相关补丁与插件，涉及运维部、研发部、质量部、人力部及采购部。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361E1153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集中管控原则：所有运维软件必须纳入统一的软件库进行集中管理，禁止私自引入和使用。</w:t>
      </w:r>
    </w:p>
    <w:p w14:paraId="3AEB917C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合规安全原则：软件的引入必须经过严格的合规与安全评估，确保不侵犯知识产权且无已知高危漏洞。</w:t>
      </w:r>
    </w:p>
    <w:p w14:paraId="1D86D8D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版本唯一原则：在同一环境下，对任一软件只允许一个受控版本在库内生效，避免版本混乱。</w:t>
      </w:r>
    </w:p>
    <w:p w14:paraId="2FAA9738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生命周期原则：对软件从事前评估、事中控制到事后归档实施全生命周期管理。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6650D5EA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运维部</w:t>
      </w:r>
    </w:p>
    <w:p w14:paraId="65EB1B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作为软件的主要使用者和库管理责任部门，负责提报软件需求、执行软件部署、进行日常维护，并承担软件库的日常管理操作。</w:t>
      </w:r>
    </w:p>
    <w:p w14:paraId="1EB448E6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采购部</w:t>
      </w:r>
    </w:p>
    <w:p w14:paraId="46A0DB5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负责商业软件的采购流程，确保采购活动符合公司规定及软件许可协议。</w:t>
      </w:r>
    </w:p>
    <w:p w14:paraId="3996E623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质量部</w:t>
      </w:r>
    </w:p>
    <w:p w14:paraId="347A9BC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负责监督软件引入的技术评估与测试流程，并定期审计软件库的合规性与管理规范性。</w:t>
      </w:r>
    </w:p>
    <w:p w14:paraId="389A7BA1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研发部</w:t>
      </w:r>
    </w:p>
    <w:p w14:paraId="4F6E18A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负责对需要二次开发或深度集成的软件提供技术评估支持。</w:t>
      </w:r>
    </w:p>
    <w:p w14:paraId="1A017FD5">
      <w:pPr>
        <w:pStyle w:val="31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人力部</w:t>
      </w:r>
    </w:p>
    <w:p w14:paraId="4E445F2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负责组织相关人员的软件管理制度与规范培训。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38F4D99E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本制度的制定遵循并引用以下国家标准与行业规范：</w:t>
      </w:r>
    </w:p>
    <w:p w14:paraId="1729B52A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370B7BA8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0E62F611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66045787">
      <w:pPr>
        <w:pStyle w:val="29"/>
        <w:numPr>
          <w:ilvl w:val="0"/>
          <w:numId w:val="3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3B71CB98">
      <w:pPr>
        <w:pStyle w:val="30"/>
        <w:bidi w:val="0"/>
        <w:rPr>
          <w:rFonts w:hint="eastAsia"/>
        </w:rPr>
      </w:pPr>
      <w:r>
        <w:rPr>
          <w:rFonts w:hint="eastAsia"/>
        </w:rPr>
        <w:t>软件库</w:t>
      </w:r>
    </w:p>
    <w:p w14:paraId="453D8E60">
      <w:pPr>
        <w:pStyle w:val="29"/>
        <w:rPr>
          <w:rFonts w:hint="eastAsia"/>
        </w:rPr>
      </w:pPr>
      <w:r>
        <w:rPr>
          <w:rFonts w:hint="eastAsia"/>
        </w:rPr>
        <w:t>指公司用于统一存储、管理并发布所有经过授权和验证的软件安装包、许可证、文档及版本信息的逻辑存储库。</w:t>
      </w:r>
    </w:p>
    <w:p w14:paraId="2D7B16C6">
      <w:pPr>
        <w:pStyle w:val="30"/>
        <w:bidi w:val="0"/>
        <w:rPr>
          <w:rFonts w:hint="eastAsia"/>
        </w:rPr>
      </w:pPr>
      <w:r>
        <w:rPr>
          <w:rFonts w:hint="eastAsia"/>
        </w:rPr>
        <w:t>软件资产</w:t>
      </w:r>
    </w:p>
    <w:p w14:paraId="15ECA090">
      <w:pPr>
        <w:pStyle w:val="29"/>
        <w:rPr>
          <w:rFonts w:hint="eastAsia"/>
        </w:rPr>
      </w:pPr>
      <w:r>
        <w:rPr>
          <w:rFonts w:hint="eastAsia"/>
        </w:rPr>
        <w:t>指公司拥有合法使用权的各类软件及其相关许可证明文档。</w:t>
      </w:r>
    </w:p>
    <w:p w14:paraId="7EFB3F1E">
      <w:pPr>
        <w:pStyle w:val="30"/>
        <w:bidi w:val="0"/>
        <w:rPr>
          <w:rFonts w:hint="eastAsia"/>
        </w:rPr>
      </w:pPr>
      <w:r>
        <w:rPr>
          <w:rFonts w:hint="eastAsia"/>
        </w:rPr>
        <w:t>基线版本</w:t>
      </w:r>
    </w:p>
    <w:p w14:paraId="7FAC0F7C">
      <w:pPr>
        <w:pStyle w:val="29"/>
      </w:pPr>
      <w:r>
        <w:rPr>
          <w:rFonts w:hint="eastAsia"/>
        </w:rPr>
        <w:t>指经过全面测试、验证稳定，并被正式批准可在生产环境中部署运行的软件版本。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415A1D13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软件分类与分级</w:t>
      </w:r>
    </w:p>
    <w:p w14:paraId="4CC536E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软件分类：</w:t>
      </w:r>
    </w:p>
    <w:p w14:paraId="3B78741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系统软件：如操作系统、虚拟机监控程序等。</w:t>
      </w:r>
    </w:p>
    <w:p w14:paraId="2616A0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支撑软件：如数据库、中间件、备份软件等。</w:t>
      </w:r>
    </w:p>
    <w:p w14:paraId="38C3A37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工具软件：如监控工具、自动化运维平台、安全扫描工具等。</w:t>
      </w:r>
    </w:p>
    <w:p w14:paraId="7850088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应用补丁：针对上述软件的补丁程序、漏洞修复程序。</w:t>
      </w:r>
    </w:p>
    <w:p w14:paraId="5F3FC80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使用环境分级：</w:t>
      </w:r>
    </w:p>
    <w:p w14:paraId="48865B0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生产环境软件：用于正式业务运营的软件，需经过最严格的测试与审批。</w:t>
      </w:r>
    </w:p>
    <w:p w14:paraId="2CFE2F2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测试环境软件：用于功能、性能测试的软件。</w:t>
      </w:r>
    </w:p>
    <w:p w14:paraId="6B87B68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开发环境软件：用于研发或模拟环境的软件。</w:t>
      </w:r>
    </w:p>
    <w:p w14:paraId="422E0DD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软件引入与入库</w:t>
      </w:r>
    </w:p>
    <w:p w14:paraId="2256A4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需求申请：使用部门填写《软件引入申请表》，明确软件用途、技术要求和业务必要性。</w:t>
      </w:r>
    </w:p>
    <w:p w14:paraId="52E7E39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技术评估：运维部与质量部对软件的技术兼容性、性能及安全性进行评估。</w:t>
      </w:r>
    </w:p>
    <w:p w14:paraId="1D926B7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合规审核：采购部负责审核软件许可证类型的合规性及商业条款。</w:t>
      </w:r>
    </w:p>
    <w:p w14:paraId="1A35F28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批准入库：所有评估审核通过后，由运维部负责人批准。软件包、许可证文件及相关文档由软件库管理员统一录入软件库，并建立初始台账。</w:t>
      </w:r>
    </w:p>
    <w:p w14:paraId="1F848F68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软件存储与版本控制</w:t>
      </w:r>
    </w:p>
    <w:p w14:paraId="548352A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集中存储：所有软件安装包必须存放于指定的软件库服务器中，并进行病毒扫描。</w:t>
      </w:r>
    </w:p>
    <w:p w14:paraId="705E7D3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版本管理：软件库中每个软件均需标识清晰的版本号。对已部署的基线版本进行锁定，任何升级需遵循变更管理流程。</w:t>
      </w:r>
    </w:p>
    <w:p w14:paraId="053BEFC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元数据记录：每个软件条目必须记录名称、版本、供应商、引入日期、许可证信息、MD5校验码、存放路径及负责人等元数据。</w:t>
      </w:r>
    </w:p>
    <w:p w14:paraId="1495740D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软件发布与部署</w:t>
      </w:r>
    </w:p>
    <w:p w14:paraId="572FD1E5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申请与审批：软件部署必须经过正式的发布流程审批。部署至生产环境的软件必须是软件库中的基线版本。</w:t>
      </w:r>
    </w:p>
    <w:p w14:paraId="20E4993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来源唯一：所有环境的软件部署，其安装包必须来源于软件库，禁止使用其他来源的安装包。</w:t>
      </w:r>
    </w:p>
    <w:p w14:paraId="06AB48F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记录追踪：每次软件发布与部署均需记录，确保部署行为可追溯。</w:t>
      </w:r>
    </w:p>
    <w:p w14:paraId="768A9A2A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软件维护与退役</w:t>
      </w:r>
    </w:p>
    <w:p w14:paraId="3707D2B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更新与升级：</w:t>
      </w:r>
      <w:bookmarkStart w:id="16" w:name="_GoBack"/>
      <w:bookmarkEnd w:id="16"/>
      <w:r>
        <w:rPr>
          <w:rFonts w:hint="default"/>
          <w:lang w:val="en-US" w:eastAsia="zh-CN"/>
        </w:rPr>
        <w:t>软件升级版本需重新执行引入与入库流程。紧急补丁可走快速通道，但必须事后补全手续并通知质量部。</w:t>
      </w:r>
    </w:p>
    <w:p w14:paraId="15B8513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定期盘点：每半年对软件库内的软件资产进行一次全面盘点，核对实物（安装包）与台账（许可证数量）的一致性。</w:t>
      </w:r>
    </w:p>
    <w:p w14:paraId="696AE0D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退役处理：对已停止技术支撑、存在严重安全漏洞或不再使用的软件，由运维部发起退役申请，经批准后，将其移至软件库的历史归档区，并更新资产状态。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26732"/>
      <w:bookmarkStart w:id="12" w:name="_Toc17424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48C91637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783616"/>
    <w:multiLevelType w:val="singleLevel"/>
    <w:tmpl w:val="89783616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BF360E9F"/>
    <w:multiLevelType w:val="singleLevel"/>
    <w:tmpl w:val="BF360E9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6C5A14"/>
    <w:rsid w:val="05980692"/>
    <w:rsid w:val="073D05DE"/>
    <w:rsid w:val="07660A33"/>
    <w:rsid w:val="080D4B60"/>
    <w:rsid w:val="09975029"/>
    <w:rsid w:val="09D65B51"/>
    <w:rsid w:val="09DA5642"/>
    <w:rsid w:val="09F2400E"/>
    <w:rsid w:val="09FC6C3A"/>
    <w:rsid w:val="0AA417AC"/>
    <w:rsid w:val="0CF12BAD"/>
    <w:rsid w:val="0DFC774A"/>
    <w:rsid w:val="0F4F57A4"/>
    <w:rsid w:val="0FD115EF"/>
    <w:rsid w:val="0FF20B75"/>
    <w:rsid w:val="127C6B6A"/>
    <w:rsid w:val="130628D8"/>
    <w:rsid w:val="131B2827"/>
    <w:rsid w:val="139879D4"/>
    <w:rsid w:val="13D604FC"/>
    <w:rsid w:val="13EC5F71"/>
    <w:rsid w:val="14634486"/>
    <w:rsid w:val="14B42767"/>
    <w:rsid w:val="15CC7E09"/>
    <w:rsid w:val="15EC2259"/>
    <w:rsid w:val="16A42B33"/>
    <w:rsid w:val="16B0772A"/>
    <w:rsid w:val="170D06D9"/>
    <w:rsid w:val="17103D25"/>
    <w:rsid w:val="17710C68"/>
    <w:rsid w:val="1797236A"/>
    <w:rsid w:val="17BE19D3"/>
    <w:rsid w:val="17DF25E3"/>
    <w:rsid w:val="18846779"/>
    <w:rsid w:val="18F465E3"/>
    <w:rsid w:val="191A46EE"/>
    <w:rsid w:val="195E521C"/>
    <w:rsid w:val="19E020D4"/>
    <w:rsid w:val="1A824F3A"/>
    <w:rsid w:val="1A9923D9"/>
    <w:rsid w:val="1BC709D8"/>
    <w:rsid w:val="1D997E65"/>
    <w:rsid w:val="1E692834"/>
    <w:rsid w:val="1EAA4A5F"/>
    <w:rsid w:val="1EFD1033"/>
    <w:rsid w:val="1FCB1131"/>
    <w:rsid w:val="20D91840"/>
    <w:rsid w:val="215C6FE4"/>
    <w:rsid w:val="21D56297"/>
    <w:rsid w:val="23A26E72"/>
    <w:rsid w:val="23DD436C"/>
    <w:rsid w:val="23FD59BD"/>
    <w:rsid w:val="26C427F2"/>
    <w:rsid w:val="26F0750E"/>
    <w:rsid w:val="27400656"/>
    <w:rsid w:val="2908648D"/>
    <w:rsid w:val="294F2DD3"/>
    <w:rsid w:val="2975663E"/>
    <w:rsid w:val="2A8B6C6D"/>
    <w:rsid w:val="2B612949"/>
    <w:rsid w:val="2C9A6060"/>
    <w:rsid w:val="2DC6028F"/>
    <w:rsid w:val="2E500F2E"/>
    <w:rsid w:val="2F041F69"/>
    <w:rsid w:val="2FC11C09"/>
    <w:rsid w:val="32E225C2"/>
    <w:rsid w:val="333746BC"/>
    <w:rsid w:val="346C0F8D"/>
    <w:rsid w:val="3474193F"/>
    <w:rsid w:val="350D601C"/>
    <w:rsid w:val="35270760"/>
    <w:rsid w:val="35DE67BA"/>
    <w:rsid w:val="36883480"/>
    <w:rsid w:val="36914A2B"/>
    <w:rsid w:val="3699743B"/>
    <w:rsid w:val="375F2433"/>
    <w:rsid w:val="37971BCD"/>
    <w:rsid w:val="37C03C5F"/>
    <w:rsid w:val="37DF17C6"/>
    <w:rsid w:val="37E666B0"/>
    <w:rsid w:val="3914549F"/>
    <w:rsid w:val="3B6250F8"/>
    <w:rsid w:val="3C265C15"/>
    <w:rsid w:val="3D5F4115"/>
    <w:rsid w:val="3E287A22"/>
    <w:rsid w:val="3E5A3954"/>
    <w:rsid w:val="3F2D2E17"/>
    <w:rsid w:val="3FC574F3"/>
    <w:rsid w:val="40646D0C"/>
    <w:rsid w:val="40714F85"/>
    <w:rsid w:val="40873B7A"/>
    <w:rsid w:val="40B11D0C"/>
    <w:rsid w:val="41DA54D8"/>
    <w:rsid w:val="426164FC"/>
    <w:rsid w:val="43223C0F"/>
    <w:rsid w:val="4368266F"/>
    <w:rsid w:val="436D237B"/>
    <w:rsid w:val="43996CCD"/>
    <w:rsid w:val="45EE5265"/>
    <w:rsid w:val="46BF2EEE"/>
    <w:rsid w:val="472B0583"/>
    <w:rsid w:val="47BB1907"/>
    <w:rsid w:val="484F2050"/>
    <w:rsid w:val="48FA020D"/>
    <w:rsid w:val="49B33C44"/>
    <w:rsid w:val="49CC1B61"/>
    <w:rsid w:val="4BAD7FC9"/>
    <w:rsid w:val="4BFB76A0"/>
    <w:rsid w:val="4D1711C1"/>
    <w:rsid w:val="4E0B149B"/>
    <w:rsid w:val="4F3A5808"/>
    <w:rsid w:val="4F6F1974"/>
    <w:rsid w:val="503F29AA"/>
    <w:rsid w:val="50BE0A71"/>
    <w:rsid w:val="511C5981"/>
    <w:rsid w:val="517254B9"/>
    <w:rsid w:val="51F0261E"/>
    <w:rsid w:val="54526F33"/>
    <w:rsid w:val="5486504B"/>
    <w:rsid w:val="54CB7E3C"/>
    <w:rsid w:val="5632548A"/>
    <w:rsid w:val="574F3E1A"/>
    <w:rsid w:val="58675193"/>
    <w:rsid w:val="58727DC0"/>
    <w:rsid w:val="59D95C1D"/>
    <w:rsid w:val="5A2E0E39"/>
    <w:rsid w:val="5A6610C0"/>
    <w:rsid w:val="5B0B0058"/>
    <w:rsid w:val="5B85605C"/>
    <w:rsid w:val="5C875B0C"/>
    <w:rsid w:val="5CB71FB5"/>
    <w:rsid w:val="5D0D6A04"/>
    <w:rsid w:val="5D2E6280"/>
    <w:rsid w:val="5D4B5084"/>
    <w:rsid w:val="5D6677C8"/>
    <w:rsid w:val="5E6A32E8"/>
    <w:rsid w:val="5EFB71CC"/>
    <w:rsid w:val="5F7F1015"/>
    <w:rsid w:val="60C56EFB"/>
    <w:rsid w:val="613E7799"/>
    <w:rsid w:val="616B4900"/>
    <w:rsid w:val="6200643D"/>
    <w:rsid w:val="62312EF8"/>
    <w:rsid w:val="62522A10"/>
    <w:rsid w:val="640721AA"/>
    <w:rsid w:val="652A5B5F"/>
    <w:rsid w:val="657F3B1C"/>
    <w:rsid w:val="659C092C"/>
    <w:rsid w:val="65C43C25"/>
    <w:rsid w:val="678C0773"/>
    <w:rsid w:val="68804644"/>
    <w:rsid w:val="698F3ABF"/>
    <w:rsid w:val="699B292A"/>
    <w:rsid w:val="69DB53BE"/>
    <w:rsid w:val="6BAD2A66"/>
    <w:rsid w:val="6BDD42B9"/>
    <w:rsid w:val="6BF30DC0"/>
    <w:rsid w:val="6D834437"/>
    <w:rsid w:val="6DB46CBB"/>
    <w:rsid w:val="6E6623CD"/>
    <w:rsid w:val="6EEB3FD1"/>
    <w:rsid w:val="6F887A72"/>
    <w:rsid w:val="711772FF"/>
    <w:rsid w:val="713003C1"/>
    <w:rsid w:val="7141437C"/>
    <w:rsid w:val="73593BFF"/>
    <w:rsid w:val="73644352"/>
    <w:rsid w:val="73C7661F"/>
    <w:rsid w:val="76960176"/>
    <w:rsid w:val="76C45833"/>
    <w:rsid w:val="76F6721A"/>
    <w:rsid w:val="776C1A27"/>
    <w:rsid w:val="783E1615"/>
    <w:rsid w:val="78B13B95"/>
    <w:rsid w:val="78CA2EA9"/>
    <w:rsid w:val="78D1021F"/>
    <w:rsid w:val="7A1940E8"/>
    <w:rsid w:val="7A2F7467"/>
    <w:rsid w:val="7B4E6013"/>
    <w:rsid w:val="7B5C70B9"/>
    <w:rsid w:val="7C066719"/>
    <w:rsid w:val="7C434C07"/>
    <w:rsid w:val="7D0C7F34"/>
    <w:rsid w:val="7DA168CE"/>
    <w:rsid w:val="7DF905A7"/>
    <w:rsid w:val="7E086FD3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231</Words>
  <Characters>305</Characters>
  <Lines>0</Lines>
  <Paragraphs>0</Paragraphs>
  <TotalTime>20</TotalTime>
  <ScaleCrop>false</ScaleCrop>
  <LinksUpToDate>false</LinksUpToDate>
  <CharactersWithSpaces>355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2025-10-20T10:13:21Z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