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A6FA79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1" w:beforeLines="1000"/>
        <w:textAlignment w:val="baseline"/>
      </w:pPr>
      <w:bookmarkStart w:id="0" w:name="_Toc28791"/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7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阿克苏智汇人才服务有限</w:t>
      </w:r>
      <w:r>
        <w:t>公司</w:t>
      </w:r>
      <w:bookmarkEnd w:id="0"/>
    </w:p>
    <w:p w14:paraId="1CA859AD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5" w:afterLines="200"/>
        <w:textAlignment w:val="baseline"/>
        <w:rPr>
          <w:rFonts w:hint="eastAsia"/>
          <w:lang w:val="en-US" w:eastAsia="zh-CN"/>
        </w:rPr>
      </w:pPr>
      <w:bookmarkStart w:id="1" w:name="_Toc16158"/>
      <w:r>
        <w:rPr>
          <w:rFonts w:hint="eastAsia"/>
          <w:lang w:val="en-US" w:eastAsia="zh-CN"/>
        </w:rPr>
        <w:t>服务数据管理制度</w:t>
      </w:r>
      <w:bookmarkEnd w:id="1"/>
    </w:p>
    <w:p w14:paraId="5C99E7F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5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ZHRC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8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6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42161A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47F44E0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527A68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2025.04.10</w:t>
            </w:r>
          </w:p>
        </w:tc>
      </w:tr>
      <w:tr w14:paraId="5E0463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2740D4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fitText w:val="840" w:id="1984234543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fitText w:val="840" w:id="1984234543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fitText w:val="630" w:id="1331981115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fitText w:val="630" w:id="1331981115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36398C7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2025.04.10</w:t>
            </w:r>
          </w:p>
        </w:tc>
      </w:tr>
      <w:tr w14:paraId="40129E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5A92757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fitText w:val="840" w:id="722747876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fitText w:val="840" w:id="722747876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 w:asciiTheme="minorAscii" w:hAnsiTheme="minorAscii" w:eastAsiaTheme="minorEastAsia"/>
                <w:spacing w:val="105"/>
                <w:kern w:val="0"/>
                <w:sz w:val="21"/>
                <w:u w:val="single"/>
                <w:fitText w:val="630" w:id="676873217"/>
                <w:vertAlign w:val="baseline"/>
                <w:lang w:val="en-US" w:eastAsia="zh-CN"/>
              </w:rPr>
              <w:t>任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u w:val="single"/>
                <w:fitText w:val="630" w:id="676873217"/>
                <w:vertAlign w:val="baseline"/>
                <w:lang w:val="en-US" w:eastAsia="zh-CN"/>
              </w:rPr>
              <w:t>鸿</w:t>
            </w:r>
          </w:p>
        </w:tc>
        <w:tc>
          <w:tcPr>
            <w:tcW w:w="2708" w:type="dxa"/>
          </w:tcPr>
          <w:p w14:paraId="370F75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2025.04.10</w:t>
            </w:r>
          </w:p>
        </w:tc>
      </w:tr>
    </w:tbl>
    <w:p w14:paraId="1DEAC454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36153578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6544A00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</w:tblPrEx>
        <w:trPr>
          <w:trHeight w:val="593" w:hRule="atLeast"/>
          <w:jc w:val="center"/>
        </w:trPr>
        <w:tc>
          <w:tcPr>
            <w:tcW w:w="2689" w:type="dxa"/>
          </w:tcPr>
          <w:p w14:paraId="4FB3B2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778067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4D1CA8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5C6967C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631C0F8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2EE12DA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4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19" w:type="dxa"/>
          </w:tcPr>
          <w:p w14:paraId="10AEB2A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2292F32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43AD957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105"/>
                <w:kern w:val="0"/>
                <w:sz w:val="21"/>
                <w:fitText w:val="630" w:id="676873217"/>
                <w:vertAlign w:val="baseline"/>
                <w:lang w:val="en-US" w:eastAsia="zh-CN"/>
              </w:rPr>
              <w:t>任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fitText w:val="630" w:id="676873217"/>
                <w:vertAlign w:val="baseline"/>
                <w:lang w:val="en-US" w:eastAsia="zh-CN"/>
              </w:rPr>
              <w:t>鸿</w:t>
            </w:r>
          </w:p>
        </w:tc>
      </w:tr>
      <w:tr w14:paraId="6E20967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05F4A44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2146625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2B88D56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2F1492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5B855D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3A84474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58C703F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4970AE5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0C73CE0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7F7C35E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750A30C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67969F4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64D59CB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2677625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38E27D40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36A6F98F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34F6D01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_Toc28791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阿克苏智汇人才服务有限</w:t>
          </w:r>
          <w:r>
            <w:t>公司</w:t>
          </w:r>
          <w:r>
            <w:tab/>
          </w:r>
          <w:r>
            <w:fldChar w:fldCharType="begin"/>
          </w:r>
          <w:r>
            <w:instrText xml:space="preserve"> PAGEREF _Toc28791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E131E8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_Toc16158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服务数据管理制度</w:t>
          </w:r>
          <w:r>
            <w:tab/>
          </w:r>
          <w:r>
            <w:fldChar w:fldCharType="begin"/>
          </w:r>
          <w:r>
            <w:instrText xml:space="preserve"> PAGEREF _Toc16158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377514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_Toc5630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_Toc5630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5BA973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_Toc7056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_Toc7056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E3EE0D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_Toc13368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_Toc13368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2598E8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_Toc22105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_Toc22105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136D3D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_Toc13077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_Toc13077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3766B3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_Toc32054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1.4.1. 运维部</w:t>
          </w:r>
          <w:r>
            <w:tab/>
          </w:r>
          <w:r>
            <w:fldChar w:fldCharType="begin"/>
          </w:r>
          <w:r>
            <w:instrText xml:space="preserve"> PAGEREF _Toc32054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3F0D641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_Toc16583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1.4.2. 质量部</w:t>
          </w:r>
          <w:r>
            <w:tab/>
          </w:r>
          <w:r>
            <w:fldChar w:fldCharType="begin"/>
          </w:r>
          <w:r>
            <w:instrText xml:space="preserve"> PAGEREF _Toc16583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B37ABD9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1.4.3. 研发部</w:t>
          </w:r>
          <w:r>
            <w:tab/>
          </w:r>
          <w:r>
            <w:fldChar w:fldCharType="begin"/>
          </w:r>
          <w:r>
            <w:instrText xml:space="preserve"> PAGEREF _Toc1895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B166F3A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_Toc23035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1.4.4. 人力部</w:t>
          </w:r>
          <w:r>
            <w:tab/>
          </w:r>
          <w:r>
            <w:fldChar w:fldCharType="begin"/>
          </w:r>
          <w:r>
            <w:instrText xml:space="preserve"> PAGEREF _Toc23035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4317DC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_Toc8083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1.4.5. 采购部</w:t>
          </w:r>
          <w:r>
            <w:tab/>
          </w:r>
          <w:r>
            <w:fldChar w:fldCharType="begin"/>
          </w:r>
          <w:r>
            <w:instrText xml:space="preserve"> PAGEREF _Toc8083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B8C30C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_Toc17601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引用依据</w:t>
          </w:r>
          <w:r>
            <w:tab/>
          </w:r>
          <w:r>
            <w:fldChar w:fldCharType="begin"/>
          </w:r>
          <w:r>
            <w:instrText xml:space="preserve"> PAGEREF _Toc17601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E52983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_Toc10624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定义与术语</w:t>
          </w:r>
          <w:r>
            <w:tab/>
          </w:r>
          <w:r>
            <w:fldChar w:fldCharType="begin"/>
          </w:r>
          <w:r>
            <w:instrText xml:space="preserve"> PAGEREF _Toc10624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95B6CA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_Toc7130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rPr>
              <w:rFonts w:hint="eastAsia"/>
            </w:rPr>
            <w:t>运维服务数据</w:t>
          </w:r>
          <w:r>
            <w:tab/>
          </w:r>
          <w:r>
            <w:fldChar w:fldCharType="begin"/>
          </w:r>
          <w:r>
            <w:instrText xml:space="preserve"> PAGEREF _Toc7130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0895D4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_Toc19131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rPr>
              <w:rFonts w:hint="eastAsia"/>
            </w:rPr>
            <w:t>数据资产目录</w:t>
          </w:r>
          <w:r>
            <w:tab/>
          </w:r>
          <w:r>
            <w:fldChar w:fldCharType="begin"/>
          </w:r>
          <w:r>
            <w:instrText xml:space="preserve"> PAGEREF _Toc19131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D18465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_Toc13630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rPr>
              <w:rFonts w:hint="eastAsia"/>
            </w:rPr>
            <w:t>数据定级</w:t>
          </w:r>
          <w:r>
            <w:tab/>
          </w:r>
          <w:r>
            <w:fldChar w:fldCharType="begin"/>
          </w:r>
          <w:r>
            <w:instrText xml:space="preserve"> PAGEREF _Toc13630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428A5D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_Toc13680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管理内容与要求</w:t>
          </w:r>
          <w:r>
            <w:tab/>
          </w:r>
          <w:r>
            <w:fldChar w:fldCharType="begin"/>
          </w:r>
          <w:r>
            <w:instrText xml:space="preserve"> PAGEREF _Toc13680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968877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_Toc17950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数据分类与定级</w:t>
          </w:r>
          <w:r>
            <w:tab/>
          </w:r>
          <w:r>
            <w:fldChar w:fldCharType="begin"/>
          </w:r>
          <w:r>
            <w:instrText xml:space="preserve"> PAGEREF _Toc17950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0AFDCE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_Toc12023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数据质量管理</w:t>
          </w:r>
          <w:r>
            <w:tab/>
          </w:r>
          <w:r>
            <w:fldChar w:fldCharType="begin"/>
          </w:r>
          <w:r>
            <w:instrText xml:space="preserve"> PAGEREF _Toc12023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7C2E22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_Toc30640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数据安全管理</w:t>
          </w:r>
          <w:r>
            <w:tab/>
          </w:r>
          <w:r>
            <w:fldChar w:fldCharType="begin"/>
          </w:r>
          <w:r>
            <w:instrText xml:space="preserve"> PAGEREF _Toc30640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D62452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_Toc22505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数据生命周期管理</w:t>
          </w:r>
          <w:r>
            <w:tab/>
          </w:r>
          <w:r>
            <w:fldChar w:fldCharType="begin"/>
          </w:r>
          <w:r>
            <w:instrText xml:space="preserve"> PAGEREF _Toc22505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DE6EC8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_Toc31613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4.5. 数据驱动决策机制</w:t>
          </w:r>
          <w:r>
            <w:tab/>
          </w:r>
          <w:r>
            <w:fldChar w:fldCharType="begin"/>
          </w:r>
          <w:r>
            <w:instrText xml:space="preserve"> PAGEREF _Toc31613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A09293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_Toc10681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5.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_Toc10681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33BD9E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_Toc25359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_Toc25359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BEB2F4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_Toc32285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_Toc32285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5460C6F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272DD7F8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36869B1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2" w:name="_Toc5630"/>
      <w:r>
        <w:rPr>
          <w:rFonts w:hint="eastAsia"/>
          <w:lang w:val="en-US" w:eastAsia="zh-CN"/>
        </w:rPr>
        <w:t>总则</w:t>
      </w:r>
      <w:bookmarkEnd w:id="2"/>
    </w:p>
    <w:p w14:paraId="151B219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" w:name="_Toc7056"/>
      <w:r>
        <w:rPr>
          <w:rFonts w:hint="eastAsia"/>
          <w:lang w:val="en-US" w:eastAsia="zh-CN"/>
        </w:rPr>
        <w:t>目的</w:t>
      </w:r>
      <w:bookmarkEnd w:id="3"/>
    </w:p>
    <w:p w14:paraId="4FD82DA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确立本公司运维服务数据的管理框架，规范数据的产生、处理、使用与保护全流程，深度挖掘数据资产价值，赋能服务决策与创新，保障数据安全与合规，支撑运维服务能力的持续提升与ITSS成熟度要求，特制定本制度。</w:t>
      </w:r>
    </w:p>
    <w:p w14:paraId="74FEE6B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" w:name="_Toc13368"/>
      <w:r>
        <w:rPr>
          <w:rFonts w:hint="eastAsia"/>
          <w:lang w:val="en-US" w:eastAsia="zh-CN"/>
        </w:rPr>
        <w:t>适用范围</w:t>
      </w:r>
      <w:bookmarkEnd w:id="4"/>
    </w:p>
    <w:p w14:paraId="7A8B28A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本制度适用于公司内所有与运维服务活动相关的部门及人员，涉及运维部、研发部、质量部、人力部及采购部在业务过程中生成、存储、流转和分析的各类数据。</w:t>
      </w:r>
    </w:p>
    <w:p w14:paraId="1D3A738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" w:name="_Toc22105"/>
      <w:r>
        <w:rPr>
          <w:rFonts w:hint="eastAsia"/>
          <w:lang w:val="en-US" w:eastAsia="zh-CN"/>
        </w:rPr>
        <w:t>原则</w:t>
      </w:r>
      <w:bookmarkEnd w:id="5"/>
    </w:p>
    <w:p w14:paraId="2187491B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价值导向原则：数据管理活动应聚焦于支持业务决策、优化服务流程与提升客户体验。</w:t>
      </w:r>
    </w:p>
    <w:p w14:paraId="61E33EF8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权责对等原则：数据在共享与使用的同时，必须明确主体责任，确保数据安全与合规。</w:t>
      </w:r>
    </w:p>
    <w:p w14:paraId="3D7DA9CE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全生命周期管理原则：对数据从创建到销毁的每个阶段实施相适应的管理策略。</w:t>
      </w:r>
    </w:p>
    <w:p w14:paraId="580FC588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质量贯穿始终原则：数据质量是数据价值的前提，需在各个环节得到保障。</w:t>
      </w:r>
    </w:p>
    <w:p w14:paraId="6FCDC5E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13077"/>
      <w:r>
        <w:rPr>
          <w:rFonts w:hint="eastAsia"/>
          <w:lang w:val="en-US" w:eastAsia="zh-CN"/>
        </w:rPr>
        <w:t>岗位职责</w:t>
      </w:r>
      <w:bookmarkEnd w:id="6"/>
    </w:p>
    <w:p w14:paraId="7C8F6A7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32054"/>
      <w:r>
        <w:rPr>
          <w:rFonts w:hint="default"/>
          <w:lang w:val="en-US" w:eastAsia="zh-CN"/>
        </w:rPr>
        <w:t>运维部</w:t>
      </w:r>
      <w:bookmarkEnd w:id="7"/>
    </w:p>
    <w:p w14:paraId="7EB95A6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是本制度的核心执行部门，负责运维数据的日常采集、录入、校验与应用，是数据质量的第一责任人。</w:t>
      </w:r>
    </w:p>
    <w:p w14:paraId="547157F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负责数据的分类、归档、维护日常数据台账，并协调解决数据争议。</w:t>
      </w:r>
    </w:p>
    <w:p w14:paraId="620DA963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16583"/>
      <w:r>
        <w:rPr>
          <w:rFonts w:hint="default"/>
          <w:lang w:val="en-US" w:eastAsia="zh-CN"/>
        </w:rPr>
        <w:t>质量部</w:t>
      </w:r>
      <w:bookmarkEnd w:id="8"/>
    </w:p>
    <w:p w14:paraId="1D8F27C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承担数据质量监督与审计职能，负责定义数据质量度量标准并定期组织评估。</w:t>
      </w:r>
    </w:p>
    <w:p w14:paraId="54091F4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1895"/>
      <w:r>
        <w:rPr>
          <w:rFonts w:hint="default"/>
          <w:lang w:val="en-US" w:eastAsia="zh-CN"/>
        </w:rPr>
        <w:t>研发部</w:t>
      </w:r>
      <w:bookmarkEnd w:id="9"/>
    </w:p>
    <w:p w14:paraId="3850BBD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负责提供数据管理所需的技术平台与工具支撑，确保系统的数据处理能力与管理制度相匹配。</w:t>
      </w:r>
    </w:p>
    <w:p w14:paraId="6534B11E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23035"/>
      <w:r>
        <w:rPr>
          <w:rFonts w:hint="default"/>
          <w:lang w:val="en-US" w:eastAsia="zh-CN"/>
        </w:rPr>
        <w:t>人力部</w:t>
      </w:r>
      <w:bookmarkEnd w:id="10"/>
    </w:p>
    <w:p w14:paraId="5EA12FA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负责将数据管理成效纳入相关岗位的绩效考核与激励机制。</w:t>
      </w:r>
    </w:p>
    <w:p w14:paraId="64F0D2E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8083"/>
      <w:r>
        <w:rPr>
          <w:rFonts w:hint="default"/>
          <w:lang w:val="en-US" w:eastAsia="zh-CN"/>
        </w:rPr>
        <w:t>采购部</w:t>
      </w:r>
      <w:bookmarkEnd w:id="11"/>
    </w:p>
    <w:p w14:paraId="3EDBA3D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负责在引入外部产品或服务时，评估并约束其数据接口、安全与合规性是否符合本制度要求。</w:t>
      </w:r>
    </w:p>
    <w:p w14:paraId="744EE43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2" w:name="_Toc17601"/>
      <w:r>
        <w:rPr>
          <w:rFonts w:hint="eastAsia"/>
          <w:lang w:val="en-US" w:eastAsia="zh-CN"/>
        </w:rPr>
        <w:t>引用依据</w:t>
      </w:r>
      <w:bookmarkEnd w:id="12"/>
    </w:p>
    <w:p w14:paraId="094BFF2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本制度的制定遵循并引用以下国家标准与行业规范：</w:t>
      </w:r>
    </w:p>
    <w:p w14:paraId="4D52887C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28827.1-2022 《信息技术服务 运行维护 第1部分：通用要求》</w:t>
      </w:r>
    </w:p>
    <w:p w14:paraId="7090E47F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28827.2-2012 《信息技术服务 运行维护 第2部分：交付规范》</w:t>
      </w:r>
    </w:p>
    <w:p w14:paraId="3579E569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28827.3-2012 《信息技术服务 运行维护 第3部分：应急响应规范》</w:t>
      </w:r>
    </w:p>
    <w:p w14:paraId="3245837E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T/CESA 1299—2023 《信息技术服务 运行维护服务能力成熟度模型》</w:t>
      </w:r>
    </w:p>
    <w:p w14:paraId="3078E5D4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13" w:name="_Toc10624"/>
      <w:r>
        <w:rPr>
          <w:rFonts w:hint="eastAsia"/>
          <w:lang w:val="en-US" w:eastAsia="zh-CN"/>
        </w:rPr>
        <w:t>定义与术语</w:t>
      </w:r>
      <w:bookmarkEnd w:id="13"/>
    </w:p>
    <w:p w14:paraId="094F62E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4" w:name="_Toc7130"/>
      <w:r>
        <w:rPr>
          <w:rFonts w:hint="eastAsia"/>
        </w:rPr>
        <w:t>运维服务数据</w:t>
      </w:r>
      <w:bookmarkEnd w:id="14"/>
    </w:p>
    <w:p w14:paraId="74648B8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在运维服务交付、运营与管理过程中产生的，能够记录服务行为、反映服务状态、衡量服务成果的所有原始数据与派生信息的集合。</w:t>
      </w:r>
    </w:p>
    <w:p w14:paraId="28678D0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5" w:name="_Toc19131"/>
      <w:r>
        <w:rPr>
          <w:rFonts w:hint="eastAsia"/>
        </w:rPr>
        <w:t>数据资产目录</w:t>
      </w:r>
      <w:bookmarkEnd w:id="15"/>
    </w:p>
    <w:p w14:paraId="1531DAE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对公司持有的运维服务数据资产的系统性编目，用以描述数据的业务含义、来源、格式、负责人等核心元数据。</w:t>
      </w:r>
    </w:p>
    <w:p w14:paraId="186C2FF3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6" w:name="_Toc13630"/>
      <w:r>
        <w:rPr>
          <w:rFonts w:hint="eastAsia"/>
        </w:rPr>
        <w:t>数据定级</w:t>
      </w:r>
      <w:bookmarkEnd w:id="16"/>
    </w:p>
    <w:p w14:paraId="3C9E626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根据数据遭到篡改、破坏、泄露或非法利用后，可能对公司、客户造成的潜在影响程度，所划分的数据安全级别。</w:t>
      </w:r>
    </w:p>
    <w:p w14:paraId="60EF8C3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13680"/>
      <w:r>
        <w:rPr>
          <w:rFonts w:hint="eastAsia"/>
          <w:lang w:val="en-US" w:eastAsia="zh-CN"/>
        </w:rPr>
        <w:t>管理内容与要求</w:t>
      </w:r>
      <w:bookmarkEnd w:id="17"/>
    </w:p>
    <w:p w14:paraId="6D5455E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8" w:name="_Toc17950"/>
      <w:r>
        <w:rPr>
          <w:rFonts w:hint="default"/>
          <w:lang w:val="en-US" w:eastAsia="zh-CN"/>
        </w:rPr>
        <w:t>数据分类与定级</w:t>
      </w:r>
      <w:bookmarkEnd w:id="18"/>
    </w:p>
    <w:p w14:paraId="4A6319F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业务分类体系：建立以服务生命周期为主线的数据分类体系，包括：</w:t>
      </w:r>
    </w:p>
    <w:p w14:paraId="7874EF1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服务需求数据：如服务请求、客户需求描述。</w:t>
      </w:r>
    </w:p>
    <w:p w14:paraId="75B3D3F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服务交付数据：如事件记录、变更记录、SLA/SLI达成数据。</w:t>
      </w:r>
    </w:p>
    <w:p w14:paraId="788A0EF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资源配置数据：如配置管理数据库（CMDB）中的所有条目及关系。</w:t>
      </w:r>
    </w:p>
    <w:p w14:paraId="7FF25A5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服务效能数据：如团队工作效率、资源利用率、成本数据。</w:t>
      </w:r>
    </w:p>
    <w:p w14:paraId="209B962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安全定级标准：依据数据敏感性，实施四级安全定级：</w:t>
      </w:r>
    </w:p>
    <w:p w14:paraId="3746DE2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公开（L1）： 可对外发布的服务统计摘要、白皮书等。</w:t>
      </w:r>
    </w:p>
    <w:p w14:paraId="1A01631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内部（L2）： 日常运营数据，仅限内部员工依职使用。</w:t>
      </w:r>
    </w:p>
    <w:p w14:paraId="00556D8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敏感（L3）： 包含客户业务信息、个人数据的操作记录。</w:t>
      </w:r>
    </w:p>
    <w:p w14:paraId="5A3CBBF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机密（L4）： 核心系统架构、安全漏洞细节、未公开的应急预案等。</w:t>
      </w:r>
    </w:p>
    <w:p w14:paraId="0902E703">
      <w:pPr>
        <w:pStyle w:val="30"/>
        <w:bidi w:val="0"/>
        <w:rPr>
          <w:rFonts w:hint="default"/>
          <w:lang w:val="en-US" w:eastAsia="zh-CN"/>
        </w:rPr>
      </w:pPr>
      <w:bookmarkStart w:id="19" w:name="_Toc12023"/>
      <w:r>
        <w:rPr>
          <w:rFonts w:hint="default"/>
          <w:lang w:val="en-US" w:eastAsia="zh-CN"/>
        </w:rPr>
        <w:t>数据质量管理</w:t>
      </w:r>
      <w:bookmarkEnd w:id="19"/>
    </w:p>
    <w:p w14:paraId="6ED1AFC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质量维度：明确数据在准确性、完整性、一致性、及时性、唯一性五个维度的具体要求。</w:t>
      </w:r>
    </w:p>
    <w:p w14:paraId="3E20A3E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源头管理：推行“谁产生，谁负责”的源头数据责任制，确保初始录入质量。</w:t>
      </w:r>
    </w:p>
    <w:p w14:paraId="3D4E626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闭环管理：建立从数据质量问题的发现、记录、分派、整改到验证的闭环处理流程。</w:t>
      </w:r>
    </w:p>
    <w:p w14:paraId="66FA9CA1">
      <w:pPr>
        <w:pStyle w:val="30"/>
        <w:bidi w:val="0"/>
        <w:rPr>
          <w:rFonts w:hint="default"/>
          <w:lang w:val="en-US" w:eastAsia="zh-CN"/>
        </w:rPr>
      </w:pPr>
      <w:bookmarkStart w:id="20" w:name="_Toc30640"/>
      <w:r>
        <w:rPr>
          <w:rFonts w:hint="default"/>
          <w:lang w:val="en-US" w:eastAsia="zh-CN"/>
        </w:rPr>
        <w:t>数据安全管理</w:t>
      </w:r>
      <w:bookmarkEnd w:id="20"/>
    </w:p>
    <w:p w14:paraId="5669464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访问授权：遵循最小权限原则，访问权限的申请与审批必须基于明确的业务需求。</w:t>
      </w:r>
    </w:p>
    <w:p w14:paraId="2377D56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操作审计：对机密级和敏感级数据的访问、修改、导出等高风险操作进行日志记录并定期审计。</w:t>
      </w:r>
    </w:p>
    <w:p w14:paraId="236C2CD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脱敏与加密：敏感数据在测试、开发及分析环境中必须进行脱敏处理；机密数据在存储和传输过程中必须加密。</w:t>
      </w:r>
    </w:p>
    <w:p w14:paraId="33FD1CF8">
      <w:pPr>
        <w:pStyle w:val="30"/>
        <w:bidi w:val="0"/>
        <w:rPr>
          <w:rFonts w:hint="default"/>
          <w:lang w:val="en-US" w:eastAsia="zh-CN"/>
        </w:rPr>
      </w:pPr>
      <w:bookmarkStart w:id="21" w:name="_Toc22505"/>
      <w:r>
        <w:rPr>
          <w:rFonts w:hint="default"/>
          <w:lang w:val="en-US" w:eastAsia="zh-CN"/>
        </w:rPr>
        <w:t>数据生命周期管理</w:t>
      </w:r>
      <w:bookmarkEnd w:id="21"/>
    </w:p>
    <w:p w14:paraId="64DF8CD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创建与采集：明确各类数据的创建来源、采集方式与频率，以及初始质量要求。</w:t>
      </w:r>
    </w:p>
    <w:p w14:paraId="2E8E67F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存储与处理：根据数据定级结果，规定其存储环境、备份策略与处理规范。</w:t>
      </w:r>
    </w:p>
    <w:p w14:paraId="3951C66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使用与共享：数据应在授权范围内用于服务分析、报告与决策支持。跨部门共享需签订数据共享协议。</w:t>
      </w:r>
    </w:p>
    <w:p w14:paraId="2CD0166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归档与销毁：对超出保存期限的活跃数据，应进行归档处理。对需要销毁的数据，必须采用不可恢复的彻底删除方式。</w:t>
      </w:r>
    </w:p>
    <w:p w14:paraId="71BC7B8C">
      <w:pPr>
        <w:pStyle w:val="30"/>
        <w:bidi w:val="0"/>
        <w:rPr>
          <w:rFonts w:hint="default"/>
          <w:lang w:val="en-US" w:eastAsia="zh-CN"/>
        </w:rPr>
      </w:pPr>
      <w:bookmarkStart w:id="22" w:name="_Toc31613"/>
      <w:r>
        <w:rPr>
          <w:rFonts w:hint="default"/>
          <w:lang w:val="en-US" w:eastAsia="zh-CN"/>
        </w:rPr>
        <w:t>数据驱动决策机制</w:t>
      </w:r>
      <w:bookmarkEnd w:id="22"/>
    </w:p>
    <w:p w14:paraId="112804D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定期分析报告：运维部应联合质量部，定期（如每月）生成运维服务数据分析报告，并向管理层汇报。</w:t>
      </w:r>
    </w:p>
    <w:p w14:paraId="3F4FE99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数据洞察应用：鼓励基于数据分析结果优化巡检策略、调整资源配额、改进应急预案，实现主动运维。</w:t>
      </w:r>
    </w:p>
    <w:p w14:paraId="646CB7F1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Style w:val="38"/>
          <w:rFonts w:hint="default" w:eastAsia="宋体"/>
          <w:lang w:val="en-US" w:eastAsia="zh-CN"/>
        </w:rPr>
      </w:pPr>
      <w:bookmarkStart w:id="23" w:name="bookmark3"/>
      <w:bookmarkEnd w:id="23"/>
      <w:bookmarkStart w:id="24" w:name="_Toc17424"/>
      <w:bookmarkStart w:id="25" w:name="_Toc10681"/>
      <w:r>
        <w:rPr>
          <w:rStyle w:val="38"/>
          <w:rFonts w:hint="eastAsia" w:eastAsia="宋体"/>
          <w:lang w:val="en-US" w:eastAsia="zh-CN"/>
        </w:rPr>
        <w:t>附则</w:t>
      </w:r>
      <w:bookmarkEnd w:id="24"/>
      <w:bookmarkEnd w:id="25"/>
    </w:p>
    <w:p w14:paraId="282C941D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本制度最终解释权和修订权归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运维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部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</w:p>
    <w:p w14:paraId="55478B85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本制度自颁布之日起施行。</w:t>
      </w:r>
    </w:p>
    <w:p w14:paraId="29412FC6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6" w:name="bookmark14"/>
      <w:bookmarkEnd w:id="26"/>
      <w:bookmarkStart w:id="27" w:name="_Toc25359"/>
      <w:r>
        <w:rPr>
          <w:rFonts w:hint="eastAsia"/>
          <w:lang w:val="en-US" w:eastAsia="zh-CN"/>
        </w:rPr>
        <w:t>附件</w:t>
      </w:r>
      <w:bookmarkEnd w:id="27"/>
    </w:p>
    <w:p w14:paraId="2CAC0E33">
      <w:pPr>
        <w:pStyle w:val="29"/>
        <w:numPr>
          <w:ilvl w:val="0"/>
          <w:numId w:val="5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《数据资产目录（模板）》</w:t>
      </w:r>
    </w:p>
    <w:p w14:paraId="40CEEFE9">
      <w:pPr>
        <w:pStyle w:val="29"/>
        <w:numPr>
          <w:ilvl w:val="0"/>
          <w:numId w:val="5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《数据质量评估表》</w:t>
      </w:r>
    </w:p>
    <w:p w14:paraId="4863664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8" w:name="_Toc32285"/>
      <w:r>
        <w:rPr>
          <w:rFonts w:hint="eastAsia"/>
          <w:lang w:val="en-US" w:eastAsia="zh-CN"/>
        </w:rPr>
        <w:t>记录</w:t>
      </w:r>
      <w:bookmarkEnd w:id="28"/>
    </w:p>
    <w:p w14:paraId="54833CD1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《数据访问权限申请审批表》</w:t>
      </w:r>
    </w:p>
    <w:p w14:paraId="05F117FD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《数据共享协议》</w:t>
      </w:r>
      <w:bookmarkStart w:id="29" w:name="_GoBack"/>
      <w:bookmarkEnd w:id="29"/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619F5D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drawing>
        <wp:anchor distT="0" distB="0" distL="114300" distR="114300" simplePos="0" relativeHeight="251660288" behindDoc="0" locked="0" layoutInCell="1" allowOverlap="1">
          <wp:simplePos x="0" y="0"/>
          <wp:positionH relativeFrom="column">
            <wp:posOffset>67310</wp:posOffset>
          </wp:positionH>
          <wp:positionV relativeFrom="paragraph">
            <wp:posOffset>-345440</wp:posOffset>
          </wp:positionV>
          <wp:extent cx="718820" cy="461010"/>
          <wp:effectExtent l="0" t="0" r="12700" b="11430"/>
          <wp:wrapNone/>
          <wp:docPr id="1" name="图片 1" descr="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2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18820" cy="4610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阿克苏智汇人才服务</w:t>
    </w:r>
    <w:r>
      <w:rPr>
        <w:rFonts w:hint="eastAsia" w:eastAsiaTheme="minorEastAsia"/>
        <w:lang w:eastAsia="zh-CN"/>
      </w:rPr>
      <w:t>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87A3C57"/>
    <w:multiLevelType w:val="singleLevel"/>
    <w:tmpl w:val="887A3C5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D7B486EB"/>
    <w:multiLevelType w:val="singleLevel"/>
    <w:tmpl w:val="D7B486E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DCC84E5B"/>
    <w:multiLevelType w:val="singleLevel"/>
    <w:tmpl w:val="DCC84E5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244368B2"/>
    <w:multiLevelType w:val="singleLevel"/>
    <w:tmpl w:val="244368B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0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55574E"/>
    <w:rsid w:val="0104303E"/>
    <w:rsid w:val="01814321"/>
    <w:rsid w:val="01CF6826"/>
    <w:rsid w:val="01DC6760"/>
    <w:rsid w:val="01E07299"/>
    <w:rsid w:val="0211124F"/>
    <w:rsid w:val="029C58B6"/>
    <w:rsid w:val="02CE3596"/>
    <w:rsid w:val="02EA4873"/>
    <w:rsid w:val="040604A9"/>
    <w:rsid w:val="04DA0918"/>
    <w:rsid w:val="05980692"/>
    <w:rsid w:val="06182C09"/>
    <w:rsid w:val="073D05DE"/>
    <w:rsid w:val="07660A33"/>
    <w:rsid w:val="080D4B60"/>
    <w:rsid w:val="093A3733"/>
    <w:rsid w:val="09975029"/>
    <w:rsid w:val="09D65B51"/>
    <w:rsid w:val="09F2400E"/>
    <w:rsid w:val="09F71624"/>
    <w:rsid w:val="09FC6C3A"/>
    <w:rsid w:val="0CF12BAD"/>
    <w:rsid w:val="0D004C93"/>
    <w:rsid w:val="0E0D40F9"/>
    <w:rsid w:val="0F4F57A4"/>
    <w:rsid w:val="0F803E6A"/>
    <w:rsid w:val="0FD115EF"/>
    <w:rsid w:val="107514F4"/>
    <w:rsid w:val="10BE4A11"/>
    <w:rsid w:val="117A5014"/>
    <w:rsid w:val="121A2353"/>
    <w:rsid w:val="127C6B6A"/>
    <w:rsid w:val="12B02CB8"/>
    <w:rsid w:val="12C25D81"/>
    <w:rsid w:val="130628D8"/>
    <w:rsid w:val="131B2827"/>
    <w:rsid w:val="139879D4"/>
    <w:rsid w:val="13D604FC"/>
    <w:rsid w:val="14B42767"/>
    <w:rsid w:val="15CC7E09"/>
    <w:rsid w:val="15EC2259"/>
    <w:rsid w:val="169C77DB"/>
    <w:rsid w:val="16B0772A"/>
    <w:rsid w:val="170D06D9"/>
    <w:rsid w:val="17103D25"/>
    <w:rsid w:val="17710C68"/>
    <w:rsid w:val="17771FF6"/>
    <w:rsid w:val="17B84AE8"/>
    <w:rsid w:val="17BE19D3"/>
    <w:rsid w:val="17DF25E3"/>
    <w:rsid w:val="18846779"/>
    <w:rsid w:val="189C1AEC"/>
    <w:rsid w:val="18F465E3"/>
    <w:rsid w:val="19E020D4"/>
    <w:rsid w:val="1A9923D9"/>
    <w:rsid w:val="1ABE2417"/>
    <w:rsid w:val="1B0342CC"/>
    <w:rsid w:val="1B3F1E98"/>
    <w:rsid w:val="1B4B17D0"/>
    <w:rsid w:val="1BC709D8"/>
    <w:rsid w:val="1C9B1C69"/>
    <w:rsid w:val="1D997E65"/>
    <w:rsid w:val="1E692834"/>
    <w:rsid w:val="1EFD1033"/>
    <w:rsid w:val="1F75506D"/>
    <w:rsid w:val="1FCB1131"/>
    <w:rsid w:val="20D91840"/>
    <w:rsid w:val="215C6FE4"/>
    <w:rsid w:val="23A26E72"/>
    <w:rsid w:val="23DD436C"/>
    <w:rsid w:val="23FD59BD"/>
    <w:rsid w:val="24547947"/>
    <w:rsid w:val="2560231B"/>
    <w:rsid w:val="26153106"/>
    <w:rsid w:val="26C427F2"/>
    <w:rsid w:val="273E668C"/>
    <w:rsid w:val="28E31299"/>
    <w:rsid w:val="2908648D"/>
    <w:rsid w:val="290B611E"/>
    <w:rsid w:val="294F2DD3"/>
    <w:rsid w:val="2975663E"/>
    <w:rsid w:val="2A8B6C6D"/>
    <w:rsid w:val="2B612949"/>
    <w:rsid w:val="2B944ACD"/>
    <w:rsid w:val="2C585889"/>
    <w:rsid w:val="2DA301D8"/>
    <w:rsid w:val="2E500F2E"/>
    <w:rsid w:val="2F041F69"/>
    <w:rsid w:val="2F0A1F67"/>
    <w:rsid w:val="2FC11C09"/>
    <w:rsid w:val="333746BC"/>
    <w:rsid w:val="341D1505"/>
    <w:rsid w:val="346C0F8D"/>
    <w:rsid w:val="34F32864"/>
    <w:rsid w:val="350D601C"/>
    <w:rsid w:val="35DE67BA"/>
    <w:rsid w:val="36883480"/>
    <w:rsid w:val="36914A2B"/>
    <w:rsid w:val="3699743B"/>
    <w:rsid w:val="3747333B"/>
    <w:rsid w:val="375F2433"/>
    <w:rsid w:val="37971BCD"/>
    <w:rsid w:val="37DF17C6"/>
    <w:rsid w:val="37E666B0"/>
    <w:rsid w:val="3914549F"/>
    <w:rsid w:val="391A0D07"/>
    <w:rsid w:val="3C265C15"/>
    <w:rsid w:val="3C812E4B"/>
    <w:rsid w:val="3D5F4115"/>
    <w:rsid w:val="3E287A22"/>
    <w:rsid w:val="3E5A3954"/>
    <w:rsid w:val="3F2D2E17"/>
    <w:rsid w:val="3F3C12AC"/>
    <w:rsid w:val="402E6E46"/>
    <w:rsid w:val="40646D0C"/>
    <w:rsid w:val="40873B7A"/>
    <w:rsid w:val="40B11D0C"/>
    <w:rsid w:val="41C63670"/>
    <w:rsid w:val="41DA54D8"/>
    <w:rsid w:val="426164FC"/>
    <w:rsid w:val="43223C0F"/>
    <w:rsid w:val="4368266F"/>
    <w:rsid w:val="43996CCD"/>
    <w:rsid w:val="454D3BBD"/>
    <w:rsid w:val="45A55DFD"/>
    <w:rsid w:val="45EE5265"/>
    <w:rsid w:val="46BF2EEE"/>
    <w:rsid w:val="46D43205"/>
    <w:rsid w:val="4703600F"/>
    <w:rsid w:val="472B0583"/>
    <w:rsid w:val="47B10A89"/>
    <w:rsid w:val="47B40579"/>
    <w:rsid w:val="47BB1907"/>
    <w:rsid w:val="481E3C44"/>
    <w:rsid w:val="484F2050"/>
    <w:rsid w:val="48A47F31"/>
    <w:rsid w:val="48F279F1"/>
    <w:rsid w:val="48FA020D"/>
    <w:rsid w:val="49B33C44"/>
    <w:rsid w:val="49CC1B61"/>
    <w:rsid w:val="4BFB76A0"/>
    <w:rsid w:val="4CC62D40"/>
    <w:rsid w:val="4D1711C1"/>
    <w:rsid w:val="4E031912"/>
    <w:rsid w:val="4E0B149B"/>
    <w:rsid w:val="4F6F1974"/>
    <w:rsid w:val="4F7D5A68"/>
    <w:rsid w:val="503F29AA"/>
    <w:rsid w:val="50BE0A71"/>
    <w:rsid w:val="511C5981"/>
    <w:rsid w:val="51F0261E"/>
    <w:rsid w:val="5486504B"/>
    <w:rsid w:val="54BA0218"/>
    <w:rsid w:val="54CB7E3C"/>
    <w:rsid w:val="55AC288F"/>
    <w:rsid w:val="56300DBE"/>
    <w:rsid w:val="5632548A"/>
    <w:rsid w:val="575B631B"/>
    <w:rsid w:val="58675193"/>
    <w:rsid w:val="599975CF"/>
    <w:rsid w:val="5A6610C0"/>
    <w:rsid w:val="5B0B0058"/>
    <w:rsid w:val="5B85605C"/>
    <w:rsid w:val="5BB029AE"/>
    <w:rsid w:val="5D0D6A04"/>
    <w:rsid w:val="5D2E6280"/>
    <w:rsid w:val="5D6677C8"/>
    <w:rsid w:val="5DED613B"/>
    <w:rsid w:val="5E6A32E8"/>
    <w:rsid w:val="5EFB71CC"/>
    <w:rsid w:val="5F7F1015"/>
    <w:rsid w:val="613E7799"/>
    <w:rsid w:val="6200643D"/>
    <w:rsid w:val="62312EF8"/>
    <w:rsid w:val="62A96AD4"/>
    <w:rsid w:val="6384309D"/>
    <w:rsid w:val="63A23524"/>
    <w:rsid w:val="640721AA"/>
    <w:rsid w:val="652A5B5F"/>
    <w:rsid w:val="657F3B1C"/>
    <w:rsid w:val="659C092C"/>
    <w:rsid w:val="65C43C25"/>
    <w:rsid w:val="66D954AE"/>
    <w:rsid w:val="678C0773"/>
    <w:rsid w:val="68804644"/>
    <w:rsid w:val="698F3ABF"/>
    <w:rsid w:val="69DB53BE"/>
    <w:rsid w:val="6AAA163C"/>
    <w:rsid w:val="6AEB57B0"/>
    <w:rsid w:val="6BAD2A66"/>
    <w:rsid w:val="6BF30DC0"/>
    <w:rsid w:val="6CEF1361"/>
    <w:rsid w:val="6D664231"/>
    <w:rsid w:val="6D7823DF"/>
    <w:rsid w:val="6D834437"/>
    <w:rsid w:val="6DB46CBB"/>
    <w:rsid w:val="6E526272"/>
    <w:rsid w:val="6E6623CD"/>
    <w:rsid w:val="6F20011E"/>
    <w:rsid w:val="6F792572"/>
    <w:rsid w:val="6F874638"/>
    <w:rsid w:val="6F887A72"/>
    <w:rsid w:val="6F8A031E"/>
    <w:rsid w:val="6FE86762"/>
    <w:rsid w:val="711772FF"/>
    <w:rsid w:val="713003C1"/>
    <w:rsid w:val="7141437C"/>
    <w:rsid w:val="71663DE2"/>
    <w:rsid w:val="72FA3B9B"/>
    <w:rsid w:val="72FB055A"/>
    <w:rsid w:val="73593BFF"/>
    <w:rsid w:val="73644352"/>
    <w:rsid w:val="73C7661F"/>
    <w:rsid w:val="75A373B3"/>
    <w:rsid w:val="75BF3AC1"/>
    <w:rsid w:val="76960176"/>
    <w:rsid w:val="76F6721A"/>
    <w:rsid w:val="776C1A27"/>
    <w:rsid w:val="783E1615"/>
    <w:rsid w:val="78CA2EA9"/>
    <w:rsid w:val="78D1021F"/>
    <w:rsid w:val="79AB21E7"/>
    <w:rsid w:val="7A0A5C53"/>
    <w:rsid w:val="7A1940E8"/>
    <w:rsid w:val="7A2F7467"/>
    <w:rsid w:val="7ABE2599"/>
    <w:rsid w:val="7AD149C3"/>
    <w:rsid w:val="7B4A0ADE"/>
    <w:rsid w:val="7B4E6013"/>
    <w:rsid w:val="7B5C70B9"/>
    <w:rsid w:val="7C066719"/>
    <w:rsid w:val="7C434C07"/>
    <w:rsid w:val="7D0C7F34"/>
    <w:rsid w:val="7DA168CE"/>
    <w:rsid w:val="7DF905A7"/>
    <w:rsid w:val="7E086FD3"/>
    <w:rsid w:val="7EDE145C"/>
    <w:rsid w:val="7F6A0F42"/>
    <w:rsid w:val="7F8244DD"/>
    <w:rsid w:val="7F9B10FB"/>
    <w:rsid w:val="7FE777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231</Words>
  <Characters>305</Characters>
  <Lines>0</Lines>
  <Paragraphs>0</Paragraphs>
  <TotalTime>1</TotalTime>
  <ScaleCrop>false</ScaleCrop>
  <LinksUpToDate>false</LinksUpToDate>
  <CharactersWithSpaces>355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2025-10-20T09:37:01Z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2052-12.1.0.23125</vt:lpwstr>
  </property>
  <property fmtid="{D5CDD505-2E9C-101B-9397-08002B2CF9AE}" pid="4" name="KSOTemplateDocerSaveRecord">
    <vt:lpwstr>eyJoZGlkIjoiMDY5NmFjMmM4ZTljMGJiZDAxN2JmYTc0NGI0NmFiNDgiLCJ1c2VySWQiOiIxMDc1MzgyOSJ9</vt:lpwstr>
  </property>
</Properties>
</file>