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11201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3616"/>
      <w:r>
        <w:rPr>
          <w:rFonts w:hint="eastAsia"/>
          <w:lang w:val="en-US" w:eastAsia="zh-CN"/>
        </w:rPr>
        <w:t>2025年度人员管理计划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bookmarkStart w:id="27" w:name="_GoBack"/>
      <w:bookmarkEnd w:id="27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AA430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_Toc11201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CAB7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2025年度人员管理计划</w:t>
          </w:r>
          <w:r>
            <w:tab/>
          </w:r>
          <w:r>
            <w:fldChar w:fldCharType="begin"/>
          </w:r>
          <w:r>
            <w:instrText xml:space="preserve"> PAGEREF _Toc3616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CE2B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公司现状与规划</w:t>
          </w:r>
          <w:r>
            <w:tab/>
          </w:r>
          <w:r>
            <w:fldChar w:fldCharType="begin"/>
          </w:r>
          <w:r>
            <w:instrText xml:space="preserve"> PAGEREF _Toc8433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C46D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公司现状</w:t>
          </w:r>
          <w:r>
            <w:tab/>
          </w:r>
          <w:r>
            <w:fldChar w:fldCharType="begin"/>
          </w:r>
          <w:r>
            <w:instrText xml:space="preserve"> PAGEREF _Toc25377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0759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2025年人员规划目标</w:t>
          </w:r>
          <w:r>
            <w:tab/>
          </w:r>
          <w:r>
            <w:fldChar w:fldCharType="begin"/>
          </w:r>
          <w:r>
            <w:instrText xml:space="preserve"> PAGEREF _Toc29530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4566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_Toc10816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2ACE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人员招聘管理计划</w:t>
          </w:r>
          <w:r>
            <w:tab/>
          </w:r>
          <w:r>
            <w:fldChar w:fldCharType="begin"/>
          </w:r>
          <w:r>
            <w:instrText xml:space="preserve"> PAGEREF _Toc19211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ABD8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ED229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_Toc1685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BE03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人员储备管理计划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BBC60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_Toc16327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21F46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_Toc24398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830D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人员绩效考核管理计划</w:t>
          </w:r>
          <w:r>
            <w:tab/>
          </w:r>
          <w:r>
            <w:fldChar w:fldCharType="begin"/>
          </w:r>
          <w:r>
            <w:instrText xml:space="preserve"> PAGEREF _Toc31556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77721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7F11B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1A98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人员技能评定管理计划</w:t>
          </w:r>
          <w:r>
            <w:tab/>
          </w:r>
          <w:r>
            <w:fldChar w:fldCharType="begin"/>
          </w:r>
          <w:r>
            <w:instrText xml:space="preserve"> PAGEREF _Toc4406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7925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63B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_Toc21074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3563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人员培训管理计划</w:t>
          </w:r>
          <w:r>
            <w:tab/>
          </w:r>
          <w:r>
            <w:fldChar w:fldCharType="begin"/>
          </w:r>
          <w:r>
            <w:instrText xml:space="preserve"> PAGEREF _Toc12656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A3112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_Toc15207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4115C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_Toc27199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53F5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人员备份管理计划</w:t>
          </w:r>
          <w:r>
            <w:tab/>
          </w:r>
          <w:r>
            <w:fldChar w:fldCharType="begin"/>
          </w:r>
          <w:r>
            <w:instrText xml:space="preserve"> PAGEREF _Toc28528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0071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DA259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_Toc5862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C820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_Toc2429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BDE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_Toc6343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8433"/>
      <w:r>
        <w:rPr>
          <w:rFonts w:hint="eastAsia"/>
          <w:lang w:val="en-US" w:eastAsia="zh-CN"/>
        </w:rPr>
        <w:t>公司现状与规划</w:t>
      </w:r>
      <w:bookmarkEnd w:id="2"/>
    </w:p>
    <w:p w14:paraId="41A632BA">
      <w:pPr>
        <w:pStyle w:val="30"/>
        <w:bidi w:val="0"/>
        <w:rPr>
          <w:rFonts w:hint="eastAsia"/>
        </w:rPr>
      </w:pPr>
      <w:bookmarkStart w:id="3" w:name="_Toc25377"/>
      <w:r>
        <w:rPr>
          <w:rFonts w:hint="eastAsia"/>
        </w:rPr>
        <w:t>公司现状</w:t>
      </w:r>
      <w:bookmarkEnd w:id="3"/>
    </w:p>
    <w:p w14:paraId="5B534EC6">
      <w:pPr>
        <w:pStyle w:val="29"/>
        <w:rPr>
          <w:rFonts w:hint="eastAsia"/>
        </w:rPr>
      </w:pPr>
      <w:r>
        <w:rPr>
          <w:rFonts w:hint="eastAsia"/>
        </w:rPr>
        <w:t>阿克苏智汇人才服务有限公司以人力资源外包服务为基石，积累了丰富的客户资源与服务经验。为应对市场变化与寻求更大发展，公司正进行战略性转型，致力于从传统人力资源服务商升级为“人力资源”与“信息技术运维服务”并重的综合解决方案提供商。当前，公司已初步搭建了包含人力部、运维部、质量部、采购部、研发部的组织架构，为转型提供了核心框架。2024年，公司总人数为6人，团队精干但难以支撑新业务线的全面展开，在运维服务、产品研发及专业化质量管理方面的能力亟待加强。</w:t>
      </w:r>
    </w:p>
    <w:p w14:paraId="065629A6">
      <w:pPr>
        <w:pStyle w:val="30"/>
        <w:bidi w:val="0"/>
        <w:rPr>
          <w:rFonts w:hint="eastAsia"/>
        </w:rPr>
      </w:pPr>
      <w:bookmarkStart w:id="4" w:name="_Toc29530"/>
      <w:r>
        <w:rPr>
          <w:rFonts w:hint="eastAsia"/>
        </w:rPr>
        <w:t>2025年人员规划目标</w:t>
      </w:r>
      <w:bookmarkEnd w:id="4"/>
    </w:p>
    <w:p w14:paraId="4DF589D9">
      <w:pPr>
        <w:pStyle w:val="29"/>
        <w:rPr>
          <w:rFonts w:hint="eastAsia"/>
        </w:rPr>
      </w:pPr>
      <w:r>
        <w:rPr>
          <w:rFonts w:hint="eastAsia"/>
        </w:rPr>
        <w:t>本年度人员管理计划的核心目标是 “稳健扩容，赋能转型” 。计划将团队总规模从6人扩充至12人，在控制成本的同时，精准补充关键岗位人才，初步形成运维服务业务的交付与研发能力，并建立现代化的人力资源管理流程，为公司战略转型奠定坚实的人才基础。</w:t>
      </w:r>
    </w:p>
    <w:p w14:paraId="4B6662DD">
      <w:pPr>
        <w:pStyle w:val="28"/>
        <w:bidi w:val="0"/>
        <w:rPr>
          <w:rFonts w:hint="eastAsia"/>
          <w:lang w:val="en-US" w:eastAsia="zh-CN"/>
        </w:rPr>
      </w:pPr>
      <w:bookmarkStart w:id="5" w:name="_Toc10816"/>
      <w:r>
        <w:rPr>
          <w:rFonts w:hint="eastAsia"/>
          <w:lang w:val="en-US" w:eastAsia="zh-CN"/>
        </w:rPr>
        <w:t>人员管理计划</w:t>
      </w:r>
      <w:bookmarkEnd w:id="5"/>
    </w:p>
    <w:p w14:paraId="40EC2949">
      <w:pPr>
        <w:pStyle w:val="30"/>
        <w:bidi w:val="0"/>
        <w:rPr>
          <w:rFonts w:hint="eastAsia"/>
          <w:lang w:val="en-US" w:eastAsia="zh-CN"/>
        </w:rPr>
      </w:pPr>
      <w:bookmarkStart w:id="6" w:name="_Toc19211"/>
      <w:r>
        <w:rPr>
          <w:rFonts w:hint="eastAsia"/>
          <w:lang w:val="en-US" w:eastAsia="zh-CN"/>
        </w:rPr>
        <w:t>人员招聘管理计划</w:t>
      </w:r>
      <w:bookmarkEnd w:id="6"/>
    </w:p>
    <w:p w14:paraId="309F75B3">
      <w:pPr>
        <w:pStyle w:val="31"/>
        <w:bidi w:val="0"/>
        <w:rPr>
          <w:rFonts w:hint="eastAsia"/>
          <w:lang w:val="en-US" w:eastAsia="zh-CN"/>
        </w:rPr>
      </w:pPr>
      <w:bookmarkStart w:id="7" w:name="_Toc25509"/>
      <w:r>
        <w:rPr>
          <w:rFonts w:hint="eastAsia"/>
          <w:lang w:val="en-US" w:eastAsia="zh-CN"/>
        </w:rPr>
        <w:t>目的</w:t>
      </w:r>
      <w:bookmarkEnd w:id="7"/>
    </w:p>
    <w:p w14:paraId="2E8C80F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支撑公司向IT运维服务的战略转型，解决当前团队规模与能力不足的核心矛盾，本招聘计划旨在通过分季度、有重点地引入关键岗位人才，系统性构建公司的技术服务交付、产品研发与质量管理体系，确保人才供给与业务发展节奏精准匹配。</w:t>
      </w:r>
    </w:p>
    <w:p w14:paraId="1C9EE221">
      <w:pPr>
        <w:pStyle w:val="31"/>
        <w:bidi w:val="0"/>
        <w:rPr>
          <w:rFonts w:hint="default"/>
          <w:lang w:val="en-US" w:eastAsia="zh-CN"/>
        </w:rPr>
      </w:pPr>
      <w:bookmarkStart w:id="8" w:name="_Toc1685"/>
      <w:r>
        <w:rPr>
          <w:rFonts w:hint="eastAsia"/>
          <w:lang w:val="en-US" w:eastAsia="zh-CN"/>
        </w:rPr>
        <w:t>实际内容</w:t>
      </w:r>
      <w:bookmarkEnd w:id="8"/>
    </w:p>
    <w:p w14:paraId="25CB861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根据公司实际业务发展需要，计划在前三个季度进行招聘。</w:t>
      </w:r>
    </w:p>
    <w:p w14:paraId="1E4631D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2025年招聘计划，如表2-1所示</w:t>
      </w:r>
    </w:p>
    <w:p w14:paraId="3FC5492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954"/>
        <w:gridCol w:w="1704"/>
        <w:gridCol w:w="1705"/>
        <w:gridCol w:w="1705"/>
      </w:tblGrid>
      <w:tr w14:paraId="2A39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Align w:val="top"/>
          </w:tcPr>
          <w:p w14:paraId="60CE44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954" w:type="dxa"/>
            <w:vAlign w:val="top"/>
          </w:tcPr>
          <w:p w14:paraId="1EB268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704" w:type="dxa"/>
            <w:vAlign w:val="top"/>
          </w:tcPr>
          <w:p w14:paraId="24B0C9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705" w:type="dxa"/>
            <w:vAlign w:val="top"/>
          </w:tcPr>
          <w:p w14:paraId="2142EC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05" w:type="dxa"/>
            <w:vAlign w:val="top"/>
          </w:tcPr>
          <w:p w14:paraId="45D336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 w14:paraId="221E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Align w:val="top"/>
          </w:tcPr>
          <w:p w14:paraId="3D25739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954" w:type="dxa"/>
            <w:vAlign w:val="top"/>
          </w:tcPr>
          <w:p w14:paraId="4A98F9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704" w:type="dxa"/>
            <w:vAlign w:val="top"/>
          </w:tcPr>
          <w:p w14:paraId="24851D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  <w:vAlign w:val="top"/>
          </w:tcPr>
          <w:p w14:paraId="26E3F6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05" w:type="dxa"/>
            <w:vAlign w:val="top"/>
          </w:tcPr>
          <w:p w14:paraId="57008C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</w:tr>
      <w:tr w14:paraId="5F347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restart"/>
            <w:vAlign w:val="top"/>
          </w:tcPr>
          <w:p w14:paraId="4B28B2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954" w:type="dxa"/>
            <w:vAlign w:val="top"/>
          </w:tcPr>
          <w:p w14:paraId="22D794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704" w:type="dxa"/>
            <w:vAlign w:val="top"/>
          </w:tcPr>
          <w:p w14:paraId="2FDD64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705" w:type="dxa"/>
            <w:vAlign w:val="top"/>
          </w:tcPr>
          <w:p w14:paraId="66871C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  <w:vAlign w:val="top"/>
          </w:tcPr>
          <w:p w14:paraId="3CA998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17A4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continue"/>
            <w:vAlign w:val="top"/>
          </w:tcPr>
          <w:p w14:paraId="5C0E49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54" w:type="dxa"/>
            <w:vAlign w:val="top"/>
          </w:tcPr>
          <w:p w14:paraId="680F01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704" w:type="dxa"/>
            <w:vAlign w:val="top"/>
          </w:tcPr>
          <w:p w14:paraId="7F8641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  <w:vAlign w:val="top"/>
          </w:tcPr>
          <w:p w14:paraId="73EEAE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  <w:vAlign w:val="top"/>
          </w:tcPr>
          <w:p w14:paraId="2995D2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</w:tr>
      <w:tr w14:paraId="6F2B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restart"/>
            <w:vAlign w:val="top"/>
          </w:tcPr>
          <w:p w14:paraId="3A191E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954" w:type="dxa"/>
            <w:vAlign w:val="top"/>
          </w:tcPr>
          <w:p w14:paraId="6E5B62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704" w:type="dxa"/>
            <w:vAlign w:val="top"/>
          </w:tcPr>
          <w:p w14:paraId="4920BF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  <w:vAlign w:val="top"/>
          </w:tcPr>
          <w:p w14:paraId="26CB7E9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  <w:vAlign w:val="top"/>
          </w:tcPr>
          <w:p w14:paraId="4B869E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</w:tr>
      <w:tr w14:paraId="46EA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continue"/>
            <w:vAlign w:val="top"/>
          </w:tcPr>
          <w:p w14:paraId="598545D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54" w:type="dxa"/>
            <w:vAlign w:val="top"/>
          </w:tcPr>
          <w:p w14:paraId="30C868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704" w:type="dxa"/>
            <w:vAlign w:val="top"/>
          </w:tcPr>
          <w:p w14:paraId="623318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705" w:type="dxa"/>
            <w:vAlign w:val="top"/>
          </w:tcPr>
          <w:p w14:paraId="25B17F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  <w:vAlign w:val="top"/>
          </w:tcPr>
          <w:p w14:paraId="2CC5BF6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  <w:tr w14:paraId="00CD9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Align w:val="top"/>
          </w:tcPr>
          <w:p w14:paraId="612CF82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954" w:type="dxa"/>
            <w:vAlign w:val="top"/>
          </w:tcPr>
          <w:p w14:paraId="178CFA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4" w:type="dxa"/>
            <w:vAlign w:val="top"/>
          </w:tcPr>
          <w:p w14:paraId="5A327E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5" w:type="dxa"/>
            <w:vAlign w:val="top"/>
          </w:tcPr>
          <w:p w14:paraId="75D5E6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5" w:type="dxa"/>
            <w:vAlign w:val="top"/>
          </w:tcPr>
          <w:p w14:paraId="3D644FF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 w14:paraId="053F20E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65F3D88A">
      <w:pPr>
        <w:pStyle w:val="30"/>
        <w:bidi w:val="0"/>
        <w:rPr>
          <w:rFonts w:hint="eastAsia"/>
          <w:lang w:val="en-US" w:eastAsia="zh-CN"/>
        </w:rPr>
      </w:pPr>
      <w:bookmarkStart w:id="9" w:name="_Toc32382"/>
      <w:r>
        <w:rPr>
          <w:rFonts w:hint="eastAsia"/>
          <w:lang w:val="en-US" w:eastAsia="zh-CN"/>
        </w:rPr>
        <w:t>人员储备管理计划</w:t>
      </w:r>
      <w:bookmarkEnd w:id="9"/>
    </w:p>
    <w:p w14:paraId="53578A95">
      <w:pPr>
        <w:pStyle w:val="31"/>
        <w:bidi w:val="0"/>
        <w:rPr>
          <w:rFonts w:hint="eastAsia"/>
          <w:lang w:val="en-US" w:eastAsia="zh-CN"/>
        </w:rPr>
      </w:pPr>
      <w:bookmarkStart w:id="10" w:name="_Toc16327"/>
      <w:r>
        <w:rPr>
          <w:rFonts w:hint="eastAsia"/>
          <w:lang w:val="en-US" w:eastAsia="zh-CN"/>
        </w:rPr>
        <w:t>目的</w:t>
      </w:r>
      <w:bookmarkEnd w:id="10"/>
    </w:p>
    <w:p w14:paraId="32646A1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关键岗位的人才流失风险，保障业务连续性与稳定性，并为企业长远发展提供可持续的领导力供给，本计划通过识别关键岗位、实施导师制与项目炼金等机制，系统性培养内部后备人才，建立公司的人才梯队。</w:t>
      </w:r>
    </w:p>
    <w:p w14:paraId="42A04D64">
      <w:pPr>
        <w:pStyle w:val="31"/>
        <w:bidi w:val="0"/>
        <w:rPr>
          <w:rFonts w:hint="default"/>
          <w:lang w:val="en-US" w:eastAsia="zh-CN"/>
        </w:rPr>
      </w:pPr>
      <w:bookmarkStart w:id="11" w:name="_Toc24398"/>
      <w:r>
        <w:rPr>
          <w:rFonts w:hint="eastAsia"/>
          <w:lang w:val="en-US" w:eastAsia="zh-CN"/>
        </w:rPr>
        <w:t>实际内容</w:t>
      </w:r>
      <w:bookmarkEnd w:id="11"/>
    </w:p>
    <w:p w14:paraId="694D6FC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2025年公司人员储备计划如表2-2所示</w:t>
      </w:r>
    </w:p>
    <w:p w14:paraId="0F7EAD40">
      <w:pPr>
        <w:pStyle w:val="29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111"/>
        <w:gridCol w:w="1111"/>
        <w:gridCol w:w="3527"/>
        <w:gridCol w:w="920"/>
      </w:tblGrid>
      <w:tr w14:paraId="3DFD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63F499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1111" w:type="dxa"/>
          </w:tcPr>
          <w:p w14:paraId="1BEF83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1111" w:type="dxa"/>
          </w:tcPr>
          <w:p w14:paraId="2517B0E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3527" w:type="dxa"/>
          </w:tcPr>
          <w:p w14:paraId="3ABCE6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核心培新措施</w:t>
            </w:r>
          </w:p>
        </w:tc>
        <w:tc>
          <w:tcPr>
            <w:tcW w:w="920" w:type="dxa"/>
          </w:tcPr>
          <w:p w14:paraId="13251A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</w:tr>
      <w:tr w14:paraId="1158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2" w:type="dxa"/>
          </w:tcPr>
          <w:p w14:paraId="11554A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111" w:type="dxa"/>
          </w:tcPr>
          <w:p w14:paraId="585444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1111" w:type="dxa"/>
          </w:tcPr>
          <w:p w14:paraId="673A36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现任运维项目经理</w:t>
            </w:r>
          </w:p>
        </w:tc>
        <w:tc>
          <w:tcPr>
            <w:tcW w:w="3527" w:type="dxa"/>
          </w:tcPr>
          <w:p w14:paraId="6C69DA7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 w14:paraId="5FC16CC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轮岗实践： 短期轮岗至研发部、质量部，了解全业务链</w:t>
            </w:r>
          </w:p>
          <w:p w14:paraId="1EBBC7F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920" w:type="dxa"/>
          </w:tcPr>
          <w:p w14:paraId="1952801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</w:tr>
      <w:tr w14:paraId="0B86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31E905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11" w:type="dxa"/>
          </w:tcPr>
          <w:p w14:paraId="6B7AD9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111" w:type="dxa"/>
          </w:tcPr>
          <w:p w14:paraId="1D2B60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3527" w:type="dxa"/>
          </w:tcPr>
          <w:p w14:paraId="67EE83D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 w14:paraId="5AA472B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 w14:paraId="445C647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920" w:type="dxa"/>
          </w:tcPr>
          <w:p w14:paraId="4DA155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</w:tr>
      <w:tr w14:paraId="266A5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7F7CB1E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111" w:type="dxa"/>
          </w:tcPr>
          <w:p w14:paraId="18848C2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111" w:type="dxa"/>
          </w:tcPr>
          <w:p w14:paraId="39C85C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3527" w:type="dxa"/>
          </w:tcPr>
          <w:p w14:paraId="54AD5CD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 w14:paraId="0B17E41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 w14:paraId="7B5C0E9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业务接触： 跟随项目经理参与客户需求调研，理解业务痛点</w:t>
            </w:r>
          </w:p>
        </w:tc>
        <w:tc>
          <w:tcPr>
            <w:tcW w:w="920" w:type="dxa"/>
          </w:tcPr>
          <w:p w14:paraId="7CFDEB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</w:tr>
    </w:tbl>
    <w:p w14:paraId="6E50BBA4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6C0F201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40CA736F">
      <w:pPr>
        <w:pStyle w:val="30"/>
        <w:bidi w:val="0"/>
        <w:rPr>
          <w:rFonts w:hint="eastAsia"/>
          <w:lang w:val="en-US" w:eastAsia="zh-CN"/>
        </w:rPr>
      </w:pPr>
      <w:bookmarkStart w:id="12" w:name="_Toc31556"/>
      <w:r>
        <w:rPr>
          <w:rFonts w:hint="eastAsia"/>
          <w:lang w:val="en-US" w:eastAsia="zh-CN"/>
        </w:rPr>
        <w:t>人员绩效考核管理计划</w:t>
      </w:r>
      <w:bookmarkEnd w:id="12"/>
    </w:p>
    <w:p w14:paraId="4D7E8011">
      <w:pPr>
        <w:pStyle w:val="31"/>
        <w:bidi w:val="0"/>
        <w:rPr>
          <w:rFonts w:hint="eastAsia"/>
          <w:lang w:val="en-US" w:eastAsia="zh-CN"/>
        </w:rPr>
      </w:pPr>
      <w:bookmarkStart w:id="13" w:name="_Toc2480"/>
      <w:r>
        <w:rPr>
          <w:rFonts w:hint="eastAsia"/>
          <w:lang w:val="en-US" w:eastAsia="zh-CN"/>
        </w:rPr>
        <w:t>目的</w:t>
      </w:r>
      <w:bookmarkEnd w:id="13"/>
    </w:p>
    <w:p w14:paraId="43ED67F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驱动公司战略目标有效分解与落地，激励员工产生高价值贡献，并营造公平、公正的评估与激励环境，本绩效方案旨在建立一套与转型目标强关联、量化为主的考核体系，将个人收入与成长与公司发展紧密捆绑。</w:t>
      </w:r>
    </w:p>
    <w:p w14:paraId="495641CC">
      <w:pPr>
        <w:pStyle w:val="31"/>
        <w:bidi w:val="0"/>
        <w:rPr>
          <w:rFonts w:hint="default"/>
          <w:lang w:val="en-US" w:eastAsia="zh-CN"/>
        </w:rPr>
      </w:pPr>
      <w:bookmarkStart w:id="14" w:name="_Toc438"/>
      <w:r>
        <w:rPr>
          <w:rFonts w:hint="eastAsia"/>
          <w:lang w:val="en-US" w:eastAsia="zh-CN"/>
        </w:rPr>
        <w:t>实际内容</w:t>
      </w:r>
      <w:bookmarkEnd w:id="14"/>
    </w:p>
    <w:p w14:paraId="4918536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每月对人员进行考核，要求绩效考核合格率达到95%以上</w:t>
      </w:r>
    </w:p>
    <w:p w14:paraId="3E03D802">
      <w:pPr>
        <w:pStyle w:val="30"/>
        <w:bidi w:val="0"/>
        <w:rPr>
          <w:rFonts w:hint="eastAsia"/>
          <w:lang w:val="en-US" w:eastAsia="zh-CN"/>
        </w:rPr>
      </w:pPr>
      <w:bookmarkStart w:id="15" w:name="_Toc4406"/>
      <w:r>
        <w:rPr>
          <w:rFonts w:hint="eastAsia"/>
          <w:lang w:val="en-US" w:eastAsia="zh-CN"/>
        </w:rPr>
        <w:t>人员技能评定管理计划</w:t>
      </w:r>
      <w:bookmarkEnd w:id="15"/>
    </w:p>
    <w:p w14:paraId="213E4BC8">
      <w:pPr>
        <w:pStyle w:val="31"/>
        <w:bidi w:val="0"/>
        <w:rPr>
          <w:rFonts w:hint="eastAsia"/>
          <w:lang w:val="en-US" w:eastAsia="zh-CN"/>
        </w:rPr>
      </w:pPr>
      <w:bookmarkStart w:id="16" w:name="_Toc6062"/>
      <w:r>
        <w:rPr>
          <w:rFonts w:hint="eastAsia"/>
          <w:lang w:val="en-US" w:eastAsia="zh-CN"/>
        </w:rPr>
        <w:t>目的</w:t>
      </w:r>
      <w:bookmarkEnd w:id="16"/>
    </w:p>
    <w:p w14:paraId="55F3ACB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客观衡量员工能力水平，打通“能力-薪酬-晋升”的职业发展通道，并为培训、招聘等工作提供精准依据，本评定计划旨在建立一套标准化的岗位技能等级体系与评定流程，实现对人才能力的精准盘点与有效激励。</w:t>
      </w:r>
    </w:p>
    <w:p w14:paraId="3B8E621F">
      <w:pPr>
        <w:pStyle w:val="31"/>
        <w:bidi w:val="0"/>
        <w:rPr>
          <w:rFonts w:hint="default"/>
          <w:lang w:val="en-US" w:eastAsia="zh-CN"/>
        </w:rPr>
      </w:pPr>
      <w:bookmarkStart w:id="17" w:name="_Toc21074"/>
      <w:r>
        <w:rPr>
          <w:rFonts w:hint="eastAsia"/>
          <w:lang w:val="en-US" w:eastAsia="zh-CN"/>
        </w:rPr>
        <w:t>实际内容</w:t>
      </w:r>
      <w:bookmarkEnd w:id="17"/>
    </w:p>
    <w:p w14:paraId="44BC74F9">
      <w:pPr>
        <w:spacing w:before="78" w:line="361" w:lineRule="auto"/>
        <w:ind w:left="14" w:firstLine="474"/>
        <w:jc w:val="both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每季度对人员专业技能进行考核，要求考核合格率达到95%以上。</w:t>
      </w:r>
    </w:p>
    <w:p w14:paraId="0ACB6E00">
      <w:pPr>
        <w:pStyle w:val="30"/>
        <w:bidi w:val="0"/>
        <w:rPr>
          <w:rFonts w:hint="default"/>
          <w:lang w:val="en-US" w:eastAsia="zh-CN"/>
        </w:rPr>
      </w:pPr>
      <w:bookmarkStart w:id="18" w:name="_Toc12656"/>
      <w:r>
        <w:rPr>
          <w:rFonts w:hint="eastAsia"/>
          <w:lang w:val="en-US" w:eastAsia="zh-CN"/>
        </w:rPr>
        <w:t>人员培训管理计划</w:t>
      </w:r>
      <w:bookmarkEnd w:id="18"/>
    </w:p>
    <w:p w14:paraId="28C06396">
      <w:pPr>
        <w:pStyle w:val="31"/>
        <w:bidi w:val="0"/>
        <w:rPr>
          <w:rFonts w:hint="eastAsia"/>
          <w:lang w:val="en-US" w:eastAsia="zh-CN"/>
        </w:rPr>
      </w:pPr>
      <w:bookmarkStart w:id="19" w:name="_Toc15207"/>
      <w:r>
        <w:rPr>
          <w:rFonts w:hint="eastAsia"/>
          <w:lang w:val="en-US" w:eastAsia="zh-CN"/>
        </w:rPr>
        <w:t>目的</w:t>
      </w:r>
      <w:bookmarkEnd w:id="19"/>
    </w:p>
    <w:p w14:paraId="388FF29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新老员工能快速适应公司战略转型要求，提升整体专业素养与协同效率，本培训计划旨在通过系统性的赋能，统一服务思想、补齐技能短板、培养后备骨干，从而构建一支既能深入专业领域又能协同作战的复合型团队。</w:t>
      </w:r>
    </w:p>
    <w:p w14:paraId="4C37275C">
      <w:pPr>
        <w:pStyle w:val="31"/>
        <w:bidi w:val="0"/>
        <w:rPr>
          <w:rFonts w:hint="default"/>
          <w:lang w:val="en-US" w:eastAsia="zh-CN"/>
        </w:rPr>
      </w:pPr>
      <w:bookmarkStart w:id="20" w:name="_Toc27199"/>
      <w:r>
        <w:rPr>
          <w:rFonts w:hint="eastAsia"/>
          <w:lang w:val="en-US" w:eastAsia="zh-CN"/>
        </w:rPr>
        <w:t>实际内容</w:t>
      </w:r>
      <w:bookmarkEnd w:id="20"/>
    </w:p>
    <w:p w14:paraId="549FBCF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2025年培训计划，如表2-3所示</w:t>
      </w:r>
    </w:p>
    <w:p w14:paraId="165FEAB3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2935"/>
        <w:gridCol w:w="1516"/>
        <w:gridCol w:w="1516"/>
        <w:gridCol w:w="1310"/>
      </w:tblGrid>
      <w:tr w14:paraId="4526C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top"/>
          </w:tcPr>
          <w:p w14:paraId="546BEC1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935" w:type="dxa"/>
            <w:vAlign w:val="top"/>
          </w:tcPr>
          <w:p w14:paraId="56786BF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516" w:type="dxa"/>
            <w:vAlign w:val="top"/>
          </w:tcPr>
          <w:p w14:paraId="2A2FA8F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516" w:type="dxa"/>
            <w:vAlign w:val="top"/>
          </w:tcPr>
          <w:p w14:paraId="4F984CC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310" w:type="dxa"/>
            <w:vAlign w:val="top"/>
          </w:tcPr>
          <w:p w14:paraId="53D11A9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</w:tr>
      <w:tr w14:paraId="24D9A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  <w:vAlign w:val="top"/>
          </w:tcPr>
          <w:p w14:paraId="7C71F66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  <w:p w14:paraId="7E7FC07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（Q1）</w:t>
            </w:r>
          </w:p>
        </w:tc>
        <w:tc>
          <w:tcPr>
            <w:tcW w:w="2935" w:type="dxa"/>
            <w:vAlign w:val="top"/>
          </w:tcPr>
          <w:p w14:paraId="7AC9798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516" w:type="dxa"/>
            <w:vAlign w:val="top"/>
          </w:tcPr>
          <w:p w14:paraId="1414339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6" w:type="dxa"/>
            <w:vAlign w:val="top"/>
          </w:tcPr>
          <w:p w14:paraId="099233D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Q1中期</w:t>
            </w:r>
          </w:p>
        </w:tc>
        <w:tc>
          <w:tcPr>
            <w:tcW w:w="1310" w:type="dxa"/>
            <w:vAlign w:val="top"/>
          </w:tcPr>
          <w:p w14:paraId="4BEABA5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1B4B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4970318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5F801D0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ITSS服务标准基础概念</w:t>
            </w:r>
          </w:p>
        </w:tc>
        <w:tc>
          <w:tcPr>
            <w:tcW w:w="1516" w:type="dxa"/>
            <w:vAlign w:val="top"/>
          </w:tcPr>
          <w:p w14:paraId="6E46C1D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运维部、质量部、人力部</w:t>
            </w:r>
          </w:p>
        </w:tc>
        <w:tc>
          <w:tcPr>
            <w:tcW w:w="1516" w:type="dxa"/>
            <w:vAlign w:val="top"/>
          </w:tcPr>
          <w:p w14:paraId="7BE265C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Q1后期</w:t>
            </w:r>
          </w:p>
        </w:tc>
        <w:tc>
          <w:tcPr>
            <w:tcW w:w="1310" w:type="dxa"/>
            <w:vAlign w:val="top"/>
          </w:tcPr>
          <w:p w14:paraId="26A601F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712D2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4DD11D5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57968E3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516" w:type="dxa"/>
            <w:vAlign w:val="top"/>
          </w:tcPr>
          <w:p w14:paraId="5D37D3F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516" w:type="dxa"/>
            <w:vAlign w:val="top"/>
          </w:tcPr>
          <w:p w14:paraId="45F3EBB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Q1后期</w:t>
            </w:r>
          </w:p>
        </w:tc>
        <w:tc>
          <w:tcPr>
            <w:tcW w:w="1310" w:type="dxa"/>
            <w:vAlign w:val="top"/>
          </w:tcPr>
          <w:p w14:paraId="52F5AD1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</w:tr>
      <w:tr w14:paraId="0CE4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  <w:vAlign w:val="top"/>
          </w:tcPr>
          <w:p w14:paraId="25CD7B8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  <w:p w14:paraId="3D6F23F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（Q2）</w:t>
            </w:r>
          </w:p>
        </w:tc>
        <w:tc>
          <w:tcPr>
            <w:tcW w:w="2935" w:type="dxa"/>
            <w:vAlign w:val="top"/>
          </w:tcPr>
          <w:p w14:paraId="39D49DB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516" w:type="dxa"/>
            <w:vAlign w:val="top"/>
          </w:tcPr>
          <w:p w14:paraId="3B553E4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6" w:type="dxa"/>
            <w:vAlign w:val="top"/>
          </w:tcPr>
          <w:p w14:paraId="50B605C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Q2中期</w:t>
            </w:r>
          </w:p>
        </w:tc>
        <w:tc>
          <w:tcPr>
            <w:tcW w:w="1310" w:type="dxa"/>
            <w:vAlign w:val="top"/>
          </w:tcPr>
          <w:p w14:paraId="189B6FF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54538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1126407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2A4BEA3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516" w:type="dxa"/>
            <w:vAlign w:val="top"/>
          </w:tcPr>
          <w:p w14:paraId="262CBC4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516" w:type="dxa"/>
            <w:vAlign w:val="top"/>
          </w:tcPr>
          <w:p w14:paraId="42F4566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Q2中期</w:t>
            </w:r>
          </w:p>
        </w:tc>
        <w:tc>
          <w:tcPr>
            <w:tcW w:w="1310" w:type="dxa"/>
            <w:vAlign w:val="top"/>
          </w:tcPr>
          <w:p w14:paraId="486DFDF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6C87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0367E0D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7A4DB07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516" w:type="dxa"/>
            <w:vAlign w:val="top"/>
          </w:tcPr>
          <w:p w14:paraId="281FDD1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516" w:type="dxa"/>
            <w:vAlign w:val="top"/>
          </w:tcPr>
          <w:p w14:paraId="41B2687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Q2后期</w:t>
            </w:r>
          </w:p>
        </w:tc>
        <w:tc>
          <w:tcPr>
            <w:tcW w:w="1310" w:type="dxa"/>
            <w:vAlign w:val="top"/>
          </w:tcPr>
          <w:p w14:paraId="67DB473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0FFB9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5C1FB9E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7DA63F6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516" w:type="dxa"/>
            <w:vAlign w:val="top"/>
          </w:tcPr>
          <w:p w14:paraId="278D34A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535AB91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Q2后期</w:t>
            </w:r>
          </w:p>
        </w:tc>
        <w:tc>
          <w:tcPr>
            <w:tcW w:w="1310" w:type="dxa"/>
            <w:vAlign w:val="top"/>
          </w:tcPr>
          <w:p w14:paraId="078DEE7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</w:tr>
      <w:tr w14:paraId="647C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  <w:vAlign w:val="top"/>
          </w:tcPr>
          <w:p w14:paraId="5C6BF36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  <w:p w14:paraId="5006068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（Q3）</w:t>
            </w:r>
          </w:p>
        </w:tc>
        <w:tc>
          <w:tcPr>
            <w:tcW w:w="2935" w:type="dxa"/>
            <w:vAlign w:val="top"/>
          </w:tcPr>
          <w:p w14:paraId="7C1C636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516" w:type="dxa"/>
            <w:vAlign w:val="top"/>
          </w:tcPr>
          <w:p w14:paraId="58BA955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107778B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Q3前期</w:t>
            </w:r>
          </w:p>
        </w:tc>
        <w:tc>
          <w:tcPr>
            <w:tcW w:w="1310" w:type="dxa"/>
            <w:vAlign w:val="top"/>
          </w:tcPr>
          <w:p w14:paraId="05A3845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</w:tr>
      <w:tr w14:paraId="0707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148F94F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2880817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云平台基础</w:t>
            </w:r>
          </w:p>
        </w:tc>
        <w:tc>
          <w:tcPr>
            <w:tcW w:w="1516" w:type="dxa"/>
            <w:vAlign w:val="top"/>
          </w:tcPr>
          <w:p w14:paraId="7BEC04B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451157E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Q3中期</w:t>
            </w:r>
          </w:p>
        </w:tc>
        <w:tc>
          <w:tcPr>
            <w:tcW w:w="1310" w:type="dxa"/>
            <w:vAlign w:val="top"/>
          </w:tcPr>
          <w:p w14:paraId="0487D80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认证培训</w:t>
            </w:r>
          </w:p>
        </w:tc>
      </w:tr>
      <w:tr w14:paraId="7A78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268667C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7A134B4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客户沟通与投诉处理</w:t>
            </w:r>
          </w:p>
        </w:tc>
        <w:tc>
          <w:tcPr>
            <w:tcW w:w="1516" w:type="dxa"/>
            <w:vAlign w:val="top"/>
          </w:tcPr>
          <w:p w14:paraId="6B13268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运维部、服务台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2B225BE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Q3中期</w:t>
            </w:r>
          </w:p>
        </w:tc>
        <w:tc>
          <w:tcPr>
            <w:tcW w:w="1310" w:type="dxa"/>
            <w:vAlign w:val="top"/>
          </w:tcPr>
          <w:p w14:paraId="09CCF4B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</w:tr>
      <w:tr w14:paraId="3C09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4328A4A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05A248E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516" w:type="dxa"/>
            <w:vAlign w:val="top"/>
          </w:tcPr>
          <w:p w14:paraId="4D24950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运维部、研发部、质量部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1932F40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Q3后期</w:t>
            </w:r>
          </w:p>
        </w:tc>
        <w:tc>
          <w:tcPr>
            <w:tcW w:w="1310" w:type="dxa"/>
            <w:vAlign w:val="top"/>
          </w:tcPr>
          <w:p w14:paraId="5EE1A7A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</w:tr>
      <w:tr w14:paraId="398B3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  <w:vAlign w:val="top"/>
          </w:tcPr>
          <w:p w14:paraId="644CEE1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  <w:p w14:paraId="34DC00E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（Q4）</w:t>
            </w:r>
          </w:p>
        </w:tc>
        <w:tc>
          <w:tcPr>
            <w:tcW w:w="2935" w:type="dxa"/>
            <w:vAlign w:val="top"/>
          </w:tcPr>
          <w:p w14:paraId="41DBEDB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516" w:type="dxa"/>
            <w:vAlign w:val="top"/>
          </w:tcPr>
          <w:p w14:paraId="108DDFA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6D2F8E7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Q4前期</w:t>
            </w:r>
          </w:p>
        </w:tc>
        <w:tc>
          <w:tcPr>
            <w:tcW w:w="1310" w:type="dxa"/>
            <w:vAlign w:val="top"/>
          </w:tcPr>
          <w:p w14:paraId="076F715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</w:tr>
      <w:tr w14:paraId="1489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3B1C0FA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2D41A97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微服务框架与容器技术</w:t>
            </w:r>
          </w:p>
        </w:tc>
        <w:tc>
          <w:tcPr>
            <w:tcW w:w="1516" w:type="dxa"/>
            <w:vAlign w:val="top"/>
          </w:tcPr>
          <w:p w14:paraId="2503F96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131E86D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Q4中期</w:t>
            </w:r>
          </w:p>
        </w:tc>
        <w:tc>
          <w:tcPr>
            <w:tcW w:w="1310" w:type="dxa"/>
            <w:vAlign w:val="top"/>
          </w:tcPr>
          <w:p w14:paraId="39E460C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</w:tr>
      <w:tr w14:paraId="4DAB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2BAD840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5E7919B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516" w:type="dxa"/>
            <w:vAlign w:val="top"/>
          </w:tcPr>
          <w:p w14:paraId="2CCCEE5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226C275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Q4后期</w:t>
            </w:r>
          </w:p>
        </w:tc>
        <w:tc>
          <w:tcPr>
            <w:tcW w:w="1310" w:type="dxa"/>
            <w:vAlign w:val="top"/>
          </w:tcPr>
          <w:p w14:paraId="0B8D566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</w:tr>
      <w:tr w14:paraId="2EC0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  <w:vAlign w:val="top"/>
          </w:tcPr>
          <w:p w14:paraId="28B520D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  <w:vAlign w:val="top"/>
          </w:tcPr>
          <w:p w14:paraId="5A6EDEB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516" w:type="dxa"/>
            <w:vAlign w:val="top"/>
          </w:tcPr>
          <w:p w14:paraId="4953C07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部门经理、运维项目经理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1CBB4EF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Q4后期</w:t>
            </w:r>
          </w:p>
        </w:tc>
        <w:tc>
          <w:tcPr>
            <w:tcW w:w="1310" w:type="dxa"/>
            <w:vAlign w:val="top"/>
          </w:tcPr>
          <w:p w14:paraId="534DD6E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</w:tbl>
    <w:p w14:paraId="5862F32F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00A73AD0">
      <w:pPr>
        <w:pStyle w:val="29"/>
        <w:ind w:left="0" w:leftChars="0" w:right="0" w:righ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培训保障机制：</w:t>
      </w:r>
    </w:p>
    <w:p w14:paraId="46302007">
      <w:pPr>
        <w:pStyle w:val="29"/>
        <w:ind w:left="0" w:leftChars="0" w:right="0" w:righ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预算支持： 公司设立专项培训经费，用于支付外部讲师、课程费用及认证考试费。</w:t>
      </w:r>
    </w:p>
    <w:p w14:paraId="19B991F6">
      <w:pPr>
        <w:pStyle w:val="29"/>
        <w:ind w:left="0" w:leftChars="0" w:right="0" w:righ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效果评估： 每次培训后通过问卷或考试进行评估，并要求受训员工进行内部分享，确保知识转化。</w:t>
      </w:r>
    </w:p>
    <w:p w14:paraId="0B137F1E">
      <w:pPr>
        <w:pStyle w:val="29"/>
        <w:ind w:left="0" w:leftChars="0" w:right="0" w:righ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与绩效挂钩： 将培训参与度与完成情况纳入个人年度绩效考核的“能力与行为”维度。</w:t>
      </w:r>
    </w:p>
    <w:p w14:paraId="1D3FE0B6">
      <w:pPr>
        <w:pStyle w:val="30"/>
        <w:bidi w:val="0"/>
        <w:rPr>
          <w:rFonts w:hint="default"/>
          <w:lang w:val="en-US" w:eastAsia="zh-CN"/>
        </w:rPr>
      </w:pPr>
      <w:bookmarkStart w:id="21" w:name="_Toc28528"/>
      <w:r>
        <w:rPr>
          <w:rFonts w:hint="eastAsia"/>
          <w:lang w:val="en-US" w:eastAsia="zh-CN"/>
        </w:rPr>
        <w:t>人员备份管理计划</w:t>
      </w:r>
      <w:bookmarkEnd w:id="21"/>
    </w:p>
    <w:p w14:paraId="46EAF119">
      <w:pPr>
        <w:pStyle w:val="31"/>
        <w:bidi w:val="0"/>
        <w:rPr>
          <w:rFonts w:hint="eastAsia"/>
          <w:lang w:val="en-US" w:eastAsia="zh-CN"/>
        </w:rPr>
      </w:pPr>
      <w:bookmarkStart w:id="22" w:name="_Toc739"/>
      <w:r>
        <w:rPr>
          <w:rFonts w:hint="eastAsia"/>
          <w:lang w:val="en-US" w:eastAsia="zh-CN"/>
        </w:rPr>
        <w:t>目的</w:t>
      </w:r>
      <w:bookmarkEnd w:id="22"/>
    </w:p>
    <w:p w14:paraId="102B4E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应对关键岗位员工因休假、离职、病假等突发性、短期缺席而导致的业务中断风险。其核心目标是保障当前业务运营的连续性与稳定性，确保各项工作在紧急情况下能无缝衔接，是一项业务连续性管理措施。</w:t>
      </w:r>
    </w:p>
    <w:p w14:paraId="5ED4FCB5">
      <w:pPr>
        <w:pStyle w:val="31"/>
        <w:bidi w:val="0"/>
        <w:rPr>
          <w:rFonts w:hint="default"/>
          <w:lang w:val="en-US" w:eastAsia="zh-CN"/>
        </w:rPr>
      </w:pPr>
      <w:bookmarkStart w:id="23" w:name="_Toc5862"/>
      <w:r>
        <w:rPr>
          <w:rFonts w:hint="eastAsia"/>
          <w:lang w:val="en-US" w:eastAsia="zh-CN"/>
        </w:rPr>
        <w:t>实际内容</w:t>
      </w:r>
      <w:bookmarkEnd w:id="23"/>
    </w:p>
    <w:p w14:paraId="7E122352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备份计划要求备份人员能在短期内（如1-4周）临时接替核心职责</w:t>
      </w:r>
      <w:r>
        <w:rPr>
          <w:rFonts w:hint="eastAsia"/>
          <w:lang w:val="en-US" w:eastAsia="zh-CN"/>
        </w:rPr>
        <w:t>。关键岗位备份情况如表2-4所示</w:t>
      </w:r>
    </w:p>
    <w:p w14:paraId="7CADD1E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关键岗位备份表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92E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CCF0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关键岗位</w:t>
            </w:r>
          </w:p>
        </w:tc>
        <w:tc>
          <w:tcPr>
            <w:tcW w:w="2130" w:type="dxa"/>
          </w:tcPr>
          <w:p w14:paraId="23554BD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主要备份人</w:t>
            </w:r>
          </w:p>
        </w:tc>
        <w:tc>
          <w:tcPr>
            <w:tcW w:w="2131" w:type="dxa"/>
          </w:tcPr>
          <w:p w14:paraId="1D40DB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次要备份人</w:t>
            </w:r>
          </w:p>
        </w:tc>
        <w:tc>
          <w:tcPr>
            <w:tcW w:w="2131" w:type="dxa"/>
          </w:tcPr>
          <w:p w14:paraId="317B5E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工作交接内容</w:t>
            </w:r>
          </w:p>
        </w:tc>
      </w:tr>
      <w:tr w14:paraId="40D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091D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2130" w:type="dxa"/>
          </w:tcPr>
          <w:p w14:paraId="0B0FD5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131" w:type="dxa"/>
          </w:tcPr>
          <w:p w14:paraId="143B4A7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2131" w:type="dxa"/>
          </w:tcPr>
          <w:p w14:paraId="13050E68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核心联系人</w:t>
            </w:r>
          </w:p>
          <w:p w14:paraId="3CAA439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审批权限</w:t>
            </w:r>
          </w:p>
        </w:tc>
      </w:tr>
      <w:tr w14:paraId="540C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5575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2130" w:type="dxa"/>
          </w:tcPr>
          <w:p w14:paraId="1FD000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其他开发工程师</w:t>
            </w:r>
          </w:p>
        </w:tc>
        <w:tc>
          <w:tcPr>
            <w:tcW w:w="2131" w:type="dxa"/>
          </w:tcPr>
          <w:p w14:paraId="3971E3C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5F463E8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系统架构文档</w:t>
            </w:r>
          </w:p>
          <w:p w14:paraId="4F1BC8A4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代码仓库权限</w:t>
            </w:r>
          </w:p>
        </w:tc>
      </w:tr>
      <w:tr w14:paraId="7125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1E4C6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采购专员</w:t>
            </w:r>
          </w:p>
        </w:tc>
        <w:tc>
          <w:tcPr>
            <w:tcW w:w="2130" w:type="dxa"/>
          </w:tcPr>
          <w:p w14:paraId="4ECE3D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采购部经理</w:t>
            </w:r>
          </w:p>
        </w:tc>
        <w:tc>
          <w:tcPr>
            <w:tcW w:w="2131" w:type="dxa"/>
          </w:tcPr>
          <w:p w14:paraId="4792D9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备品备件管理员</w:t>
            </w:r>
          </w:p>
        </w:tc>
        <w:tc>
          <w:tcPr>
            <w:tcW w:w="2131" w:type="dxa"/>
          </w:tcPr>
          <w:p w14:paraId="6E92FBBF">
            <w:pPr>
              <w:pStyle w:val="29"/>
              <w:widowControl w:val="0"/>
              <w:numPr>
                <w:ilvl w:val="0"/>
                <w:numId w:val="4"/>
              </w:numPr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供应商联络表</w:t>
            </w:r>
          </w:p>
          <w:p w14:paraId="49417491">
            <w:pPr>
              <w:pStyle w:val="29"/>
              <w:widowControl w:val="0"/>
              <w:numPr>
                <w:ilvl w:val="0"/>
                <w:numId w:val="4"/>
              </w:numPr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采购清单</w:t>
            </w:r>
          </w:p>
        </w:tc>
      </w:tr>
    </w:tbl>
    <w:p w14:paraId="123CABB6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709FD88D">
      <w:pPr>
        <w:pStyle w:val="29"/>
        <w:rPr>
          <w:rFonts w:hint="default"/>
          <w:lang w:val="en-US" w:eastAsia="zh-CN"/>
        </w:rPr>
      </w:pP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2429"/>
      <w:r>
        <w:rPr>
          <w:rFonts w:hint="eastAsia"/>
          <w:lang w:val="en-US" w:eastAsia="zh-CN"/>
        </w:rPr>
        <w:t>附件</w:t>
      </w:r>
      <w:bookmarkEnd w:id="25"/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6343"/>
      <w:r>
        <w:rPr>
          <w:rFonts w:hint="eastAsia"/>
          <w:lang w:val="en-US" w:eastAsia="zh-CN"/>
        </w:rPr>
        <w:t>记录</w:t>
      </w:r>
      <w:bookmarkEnd w:id="26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F6A624D"/>
    <w:multiLevelType w:val="singleLevel"/>
    <w:tmpl w:val="AF6A62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A9CD5B4"/>
    <w:multiLevelType w:val="singleLevel"/>
    <w:tmpl w:val="BA9CD5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538D2FA"/>
    <w:multiLevelType w:val="singleLevel"/>
    <w:tmpl w:val="3538D2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9E70F5"/>
    <w:rsid w:val="0104303E"/>
    <w:rsid w:val="01E07299"/>
    <w:rsid w:val="0211124F"/>
    <w:rsid w:val="022E230C"/>
    <w:rsid w:val="029C58B6"/>
    <w:rsid w:val="02B95F3C"/>
    <w:rsid w:val="02CE3596"/>
    <w:rsid w:val="02EA4873"/>
    <w:rsid w:val="03212CC7"/>
    <w:rsid w:val="040604A9"/>
    <w:rsid w:val="052B1173"/>
    <w:rsid w:val="056A54E2"/>
    <w:rsid w:val="057F6DC9"/>
    <w:rsid w:val="05980692"/>
    <w:rsid w:val="05B64EE1"/>
    <w:rsid w:val="073D05DE"/>
    <w:rsid w:val="076444C8"/>
    <w:rsid w:val="07660A33"/>
    <w:rsid w:val="07666493"/>
    <w:rsid w:val="07911761"/>
    <w:rsid w:val="07F21A2C"/>
    <w:rsid w:val="080D4B60"/>
    <w:rsid w:val="08A92ADB"/>
    <w:rsid w:val="09975029"/>
    <w:rsid w:val="09C85728"/>
    <w:rsid w:val="09D65B51"/>
    <w:rsid w:val="09F2400E"/>
    <w:rsid w:val="09FC6C3A"/>
    <w:rsid w:val="0CF12BAD"/>
    <w:rsid w:val="0DAB10A3"/>
    <w:rsid w:val="0F4F57A4"/>
    <w:rsid w:val="0FD115EF"/>
    <w:rsid w:val="103A58B2"/>
    <w:rsid w:val="10472C5A"/>
    <w:rsid w:val="104E60CE"/>
    <w:rsid w:val="104F3F68"/>
    <w:rsid w:val="10EA019F"/>
    <w:rsid w:val="10F733B1"/>
    <w:rsid w:val="127C6B6A"/>
    <w:rsid w:val="12B10F0A"/>
    <w:rsid w:val="12B37893"/>
    <w:rsid w:val="130374E3"/>
    <w:rsid w:val="130628D8"/>
    <w:rsid w:val="131B2827"/>
    <w:rsid w:val="132B7E85"/>
    <w:rsid w:val="139879D4"/>
    <w:rsid w:val="13B2334D"/>
    <w:rsid w:val="13D604FC"/>
    <w:rsid w:val="147815B3"/>
    <w:rsid w:val="14B42767"/>
    <w:rsid w:val="15CC7E09"/>
    <w:rsid w:val="15EC2259"/>
    <w:rsid w:val="16B0772A"/>
    <w:rsid w:val="16F13FCB"/>
    <w:rsid w:val="170D06D9"/>
    <w:rsid w:val="17103D25"/>
    <w:rsid w:val="17710C68"/>
    <w:rsid w:val="17BE19D3"/>
    <w:rsid w:val="17D71D89"/>
    <w:rsid w:val="17DF25E3"/>
    <w:rsid w:val="17E551B2"/>
    <w:rsid w:val="18846779"/>
    <w:rsid w:val="18F465E3"/>
    <w:rsid w:val="190478B9"/>
    <w:rsid w:val="19433FCE"/>
    <w:rsid w:val="19E020D4"/>
    <w:rsid w:val="1A044015"/>
    <w:rsid w:val="1A7154EF"/>
    <w:rsid w:val="1A9923D9"/>
    <w:rsid w:val="1AE24694"/>
    <w:rsid w:val="1B3501FE"/>
    <w:rsid w:val="1BC709D8"/>
    <w:rsid w:val="1BDB0DA5"/>
    <w:rsid w:val="1D083E1C"/>
    <w:rsid w:val="1D997E65"/>
    <w:rsid w:val="1E4C5C9B"/>
    <w:rsid w:val="1E692834"/>
    <w:rsid w:val="1EFD1033"/>
    <w:rsid w:val="1FCB1131"/>
    <w:rsid w:val="20A06EA1"/>
    <w:rsid w:val="20D91840"/>
    <w:rsid w:val="20E223FB"/>
    <w:rsid w:val="215C6FE4"/>
    <w:rsid w:val="22792CA9"/>
    <w:rsid w:val="227930C6"/>
    <w:rsid w:val="22A00653"/>
    <w:rsid w:val="22FF181D"/>
    <w:rsid w:val="23A26E72"/>
    <w:rsid w:val="23DD436C"/>
    <w:rsid w:val="23FD59BD"/>
    <w:rsid w:val="26C427F2"/>
    <w:rsid w:val="28876D66"/>
    <w:rsid w:val="2908648D"/>
    <w:rsid w:val="294F2DD3"/>
    <w:rsid w:val="2975663E"/>
    <w:rsid w:val="298F1421"/>
    <w:rsid w:val="29FC2156"/>
    <w:rsid w:val="2A5A71A5"/>
    <w:rsid w:val="2A8B6C6D"/>
    <w:rsid w:val="2AAC7C57"/>
    <w:rsid w:val="2AEA05DB"/>
    <w:rsid w:val="2B2F4C6A"/>
    <w:rsid w:val="2B612949"/>
    <w:rsid w:val="2B6F3CF3"/>
    <w:rsid w:val="2C727A08"/>
    <w:rsid w:val="2E500F2E"/>
    <w:rsid w:val="2EA339A5"/>
    <w:rsid w:val="2EBC05C2"/>
    <w:rsid w:val="2F041F69"/>
    <w:rsid w:val="2FC040E2"/>
    <w:rsid w:val="2FC11C09"/>
    <w:rsid w:val="304E2668"/>
    <w:rsid w:val="307B625B"/>
    <w:rsid w:val="30AF3C4B"/>
    <w:rsid w:val="31915E9F"/>
    <w:rsid w:val="333746BC"/>
    <w:rsid w:val="343E5F1E"/>
    <w:rsid w:val="346C0F8D"/>
    <w:rsid w:val="350D601C"/>
    <w:rsid w:val="356C3F5C"/>
    <w:rsid w:val="35DE67BA"/>
    <w:rsid w:val="365550A3"/>
    <w:rsid w:val="36883480"/>
    <w:rsid w:val="36914A2B"/>
    <w:rsid w:val="3699743B"/>
    <w:rsid w:val="375F2433"/>
    <w:rsid w:val="37737C8C"/>
    <w:rsid w:val="37971BCD"/>
    <w:rsid w:val="37DF17C6"/>
    <w:rsid w:val="37E666B0"/>
    <w:rsid w:val="3914549F"/>
    <w:rsid w:val="3B084B8F"/>
    <w:rsid w:val="3C265C15"/>
    <w:rsid w:val="3D5F4115"/>
    <w:rsid w:val="3E287A22"/>
    <w:rsid w:val="3E5A3954"/>
    <w:rsid w:val="3F2D2E17"/>
    <w:rsid w:val="40646D0C"/>
    <w:rsid w:val="40873B7A"/>
    <w:rsid w:val="40B11D0C"/>
    <w:rsid w:val="40B76E3C"/>
    <w:rsid w:val="41456B3D"/>
    <w:rsid w:val="41DA54D8"/>
    <w:rsid w:val="426164FC"/>
    <w:rsid w:val="43223C0F"/>
    <w:rsid w:val="43421755"/>
    <w:rsid w:val="4368266F"/>
    <w:rsid w:val="43996CCD"/>
    <w:rsid w:val="45036AF3"/>
    <w:rsid w:val="45EE5265"/>
    <w:rsid w:val="46971BE9"/>
    <w:rsid w:val="46BF2EEE"/>
    <w:rsid w:val="46CC73B9"/>
    <w:rsid w:val="472B0583"/>
    <w:rsid w:val="47BB1907"/>
    <w:rsid w:val="48360F8E"/>
    <w:rsid w:val="484F2050"/>
    <w:rsid w:val="48517B76"/>
    <w:rsid w:val="48FA020D"/>
    <w:rsid w:val="49B33C44"/>
    <w:rsid w:val="49B91E77"/>
    <w:rsid w:val="49CC1B61"/>
    <w:rsid w:val="4B3C4B0D"/>
    <w:rsid w:val="4B6422B6"/>
    <w:rsid w:val="4BFB76A0"/>
    <w:rsid w:val="4D1711C1"/>
    <w:rsid w:val="4D8E361A"/>
    <w:rsid w:val="4DF55447"/>
    <w:rsid w:val="4E0B149B"/>
    <w:rsid w:val="4EC54E1A"/>
    <w:rsid w:val="4EEC763F"/>
    <w:rsid w:val="4F302BDB"/>
    <w:rsid w:val="4F6F1974"/>
    <w:rsid w:val="4F7A3E56"/>
    <w:rsid w:val="503F29AA"/>
    <w:rsid w:val="50BE0A71"/>
    <w:rsid w:val="50CB420D"/>
    <w:rsid w:val="511C5981"/>
    <w:rsid w:val="51E53835"/>
    <w:rsid w:val="51F0261E"/>
    <w:rsid w:val="5246001F"/>
    <w:rsid w:val="5486504B"/>
    <w:rsid w:val="54B12F7D"/>
    <w:rsid w:val="54CB7E3C"/>
    <w:rsid w:val="54E66A4D"/>
    <w:rsid w:val="56222B52"/>
    <w:rsid w:val="562E0934"/>
    <w:rsid w:val="5632548A"/>
    <w:rsid w:val="571B77CE"/>
    <w:rsid w:val="57AE0B41"/>
    <w:rsid w:val="58675193"/>
    <w:rsid w:val="59C65376"/>
    <w:rsid w:val="59D042FF"/>
    <w:rsid w:val="5A6610C0"/>
    <w:rsid w:val="5B0B0058"/>
    <w:rsid w:val="5B85605C"/>
    <w:rsid w:val="5BBE50CA"/>
    <w:rsid w:val="5C806824"/>
    <w:rsid w:val="5D0D6A04"/>
    <w:rsid w:val="5D2E6280"/>
    <w:rsid w:val="5D6677C8"/>
    <w:rsid w:val="5E6A32E8"/>
    <w:rsid w:val="5EFB71CC"/>
    <w:rsid w:val="5F7F1015"/>
    <w:rsid w:val="60732927"/>
    <w:rsid w:val="607D37A6"/>
    <w:rsid w:val="613E7799"/>
    <w:rsid w:val="615E200F"/>
    <w:rsid w:val="6200643D"/>
    <w:rsid w:val="62312EF8"/>
    <w:rsid w:val="62375BD7"/>
    <w:rsid w:val="62D0609E"/>
    <w:rsid w:val="63352116"/>
    <w:rsid w:val="635D78BF"/>
    <w:rsid w:val="640721AA"/>
    <w:rsid w:val="647E75FB"/>
    <w:rsid w:val="64E41E18"/>
    <w:rsid w:val="652A5B5F"/>
    <w:rsid w:val="657F3B1C"/>
    <w:rsid w:val="659C092C"/>
    <w:rsid w:val="65C43C25"/>
    <w:rsid w:val="66B6356E"/>
    <w:rsid w:val="66F75934"/>
    <w:rsid w:val="6784366C"/>
    <w:rsid w:val="678C0773"/>
    <w:rsid w:val="68804644"/>
    <w:rsid w:val="698F3ABF"/>
    <w:rsid w:val="6A1F76BD"/>
    <w:rsid w:val="6AEC1C54"/>
    <w:rsid w:val="6B741C4A"/>
    <w:rsid w:val="6BAD2A66"/>
    <w:rsid w:val="6BF30DC0"/>
    <w:rsid w:val="6C5E393B"/>
    <w:rsid w:val="6D834437"/>
    <w:rsid w:val="6D994052"/>
    <w:rsid w:val="6DB46CBB"/>
    <w:rsid w:val="6E5F273D"/>
    <w:rsid w:val="6E6623CD"/>
    <w:rsid w:val="6F3E2352"/>
    <w:rsid w:val="6F887A72"/>
    <w:rsid w:val="6F992483"/>
    <w:rsid w:val="6FA80114"/>
    <w:rsid w:val="6FE5137E"/>
    <w:rsid w:val="711772FF"/>
    <w:rsid w:val="713003C1"/>
    <w:rsid w:val="7141437C"/>
    <w:rsid w:val="72582B3C"/>
    <w:rsid w:val="73593BFF"/>
    <w:rsid w:val="73644352"/>
    <w:rsid w:val="73C7661F"/>
    <w:rsid w:val="74542618"/>
    <w:rsid w:val="74CB5A00"/>
    <w:rsid w:val="74F65B92"/>
    <w:rsid w:val="76033D17"/>
    <w:rsid w:val="76936097"/>
    <w:rsid w:val="76960176"/>
    <w:rsid w:val="76F6721A"/>
    <w:rsid w:val="776C1A27"/>
    <w:rsid w:val="77AA4E45"/>
    <w:rsid w:val="783E1615"/>
    <w:rsid w:val="78444EDE"/>
    <w:rsid w:val="784719C3"/>
    <w:rsid w:val="78CA2EA9"/>
    <w:rsid w:val="78D1021F"/>
    <w:rsid w:val="797C62EB"/>
    <w:rsid w:val="7A1940E8"/>
    <w:rsid w:val="7A2F7467"/>
    <w:rsid w:val="7A410F49"/>
    <w:rsid w:val="7A6259E6"/>
    <w:rsid w:val="7A8629BB"/>
    <w:rsid w:val="7B4E6013"/>
    <w:rsid w:val="7B5C70B9"/>
    <w:rsid w:val="7B86755B"/>
    <w:rsid w:val="7C06069C"/>
    <w:rsid w:val="7C066719"/>
    <w:rsid w:val="7C434C07"/>
    <w:rsid w:val="7CF6426C"/>
    <w:rsid w:val="7D0C7F34"/>
    <w:rsid w:val="7DA168CE"/>
    <w:rsid w:val="7DD56578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1169</Words>
  <Characters>1364</Characters>
  <Lines>0</Lines>
  <Paragraphs>0</Paragraphs>
  <TotalTime>2</TotalTime>
  <ScaleCrop>false</ScaleCrop>
  <LinksUpToDate>false</LinksUpToDate>
  <CharactersWithSpaces>1474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2025-10-25T13:42:28Z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