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7047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13744"/>
      <w:r>
        <w:rPr>
          <w:rFonts w:hint="eastAsia"/>
          <w:lang w:val="en-US" w:eastAsia="zh-CN"/>
        </w:rPr>
        <w:t>2025年（1-10月）人员管理报告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5FA3E8A">
          <w:pPr>
            <w:pStyle w:val="16"/>
            <w:tabs>
              <w:tab w:val="right" w:leader="dot" w:pos="8306"/>
            </w:tabs>
          </w:pPr>
          <w:bookmarkStart w:id="11" w:name="_GoBack"/>
          <w:bookmarkEnd w:id="1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_Toc27047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D207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2025年（1-10月）人员管理报告</w:t>
          </w:r>
          <w:r>
            <w:tab/>
          </w:r>
          <w:r>
            <w:fldChar w:fldCharType="begin"/>
          </w:r>
          <w:r>
            <w:instrText xml:space="preserve"> PAGEREF _Toc13744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902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_Toc17110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49B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计划完成情况报告</w:t>
          </w:r>
          <w:r>
            <w:tab/>
          </w:r>
          <w:r>
            <w:fldChar w:fldCharType="begin"/>
          </w:r>
          <w:r>
            <w:instrText xml:space="preserve"> PAGEREF _Toc32401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BC1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_Toc15624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E894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_Toc6936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8B58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_Toc10552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57B2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_Toc26586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E46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_Toc2851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B57D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_Toc29998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7110"/>
      <w:r>
        <w:rPr>
          <w:rFonts w:hint="eastAsia"/>
        </w:rPr>
        <w:t>总体成就与现状总结</w:t>
      </w:r>
      <w:bookmarkEnd w:id="2"/>
    </w:p>
    <w:p w14:paraId="1CD1CCA4">
      <w:pPr>
        <w:pStyle w:val="29"/>
        <w:rPr>
          <w:rFonts w:hint="eastAsia"/>
        </w:rPr>
      </w:pPr>
      <w:r>
        <w:rPr>
          <w:rFonts w:hint="eastAsia"/>
        </w:rPr>
        <w:t>截至2025年10月30日，公司人员管理各项工作围绕年度战略目标稳步推进，</w:t>
      </w:r>
      <w:r>
        <w:rPr>
          <w:rFonts w:hint="eastAsia"/>
          <w:lang w:val="en-US" w:eastAsia="zh-CN"/>
        </w:rPr>
        <w:t>按计划</w:t>
      </w:r>
      <w:r>
        <w:rPr>
          <w:rFonts w:hint="eastAsia"/>
        </w:rPr>
        <w:t>完成年度人员规模扩张的核心任务，成功为公司的战略转型奠定了坚实的人才基础。</w:t>
      </w:r>
    </w:p>
    <w:p w14:paraId="3D278356">
      <w:pPr>
        <w:pStyle w:val="29"/>
        <w:rPr>
          <w:rFonts w:hint="eastAsia"/>
        </w:rPr>
      </w:pPr>
      <w:r>
        <w:rPr>
          <w:rFonts w:hint="eastAsia"/>
        </w:rPr>
        <w:t>公司总人数已从202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年初</w:t>
      </w:r>
      <w:r>
        <w:rPr>
          <w:rFonts w:hint="eastAsia"/>
        </w:rPr>
        <w:t>的 6人 增长至当前的 12人，净增6人，团队规模实现翻倍，</w:t>
      </w:r>
      <w:r>
        <w:rPr>
          <w:rFonts w:hint="eastAsia"/>
          <w:lang w:val="en-US" w:eastAsia="zh-CN"/>
        </w:rPr>
        <w:t>完成了</w:t>
      </w:r>
      <w:r>
        <w:rPr>
          <w:rFonts w:hint="eastAsia"/>
        </w:rPr>
        <w:t>年度人员规划目标。这一成果标志着公司已初步具备了支撑新业务线发展的团队体量。</w:t>
      </w:r>
    </w:p>
    <w:p w14:paraId="0005BD53">
      <w:pPr>
        <w:pStyle w:val="28"/>
        <w:bidi w:val="0"/>
        <w:rPr>
          <w:rFonts w:hint="eastAsia"/>
          <w:lang w:val="en-US" w:eastAsia="zh-CN"/>
        </w:rPr>
      </w:pPr>
      <w:bookmarkStart w:id="3" w:name="_Toc32401"/>
      <w:r>
        <w:rPr>
          <w:rFonts w:hint="eastAsia"/>
          <w:lang w:val="en-US" w:eastAsia="zh-CN"/>
        </w:rPr>
        <w:t>计划完成情况报告</w:t>
      </w:r>
      <w:bookmarkEnd w:id="3"/>
    </w:p>
    <w:p w14:paraId="4FFD5CED">
      <w:pPr>
        <w:pStyle w:val="30"/>
        <w:bidi w:val="0"/>
        <w:rPr>
          <w:rFonts w:hint="eastAsia"/>
          <w:lang w:val="en-US" w:eastAsia="zh-CN"/>
        </w:rPr>
      </w:pPr>
      <w:bookmarkStart w:id="4" w:name="_Toc15624"/>
      <w:r>
        <w:rPr>
          <w:rFonts w:hint="eastAsia"/>
          <w:lang w:val="en-US" w:eastAsia="zh-CN"/>
        </w:rPr>
        <w:t>人员招聘完成情况</w:t>
      </w:r>
      <w:bookmarkEnd w:id="4"/>
    </w:p>
    <w:p w14:paraId="75F81E25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公司总人数已从202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年初</w:t>
      </w:r>
      <w:r>
        <w:rPr>
          <w:rFonts w:hint="eastAsia"/>
        </w:rPr>
        <w:t>的 6人 增长至当前的 12人，净增6人，团队规模实现翻倍，</w:t>
      </w:r>
      <w:r>
        <w:rPr>
          <w:rFonts w:hint="eastAsia"/>
          <w:lang w:val="en-US" w:eastAsia="zh-CN"/>
        </w:rPr>
        <w:t>完成了</w:t>
      </w:r>
      <w:r>
        <w:rPr>
          <w:rFonts w:hint="eastAsia"/>
        </w:rPr>
        <w:t>年度人员规划目标。</w:t>
      </w:r>
      <w:r>
        <w:rPr>
          <w:rFonts w:hint="eastAsia"/>
          <w:lang w:val="en-US" w:eastAsia="zh-CN"/>
        </w:rPr>
        <w:t>人员招聘完成率达到100%。</w:t>
      </w:r>
      <w:r>
        <w:rPr>
          <w:rFonts w:hint="eastAsia"/>
        </w:rPr>
        <w:t>这一成果标志着公司已初步具备了支撑新业务线发展的团队体量。</w:t>
      </w:r>
      <w:r>
        <w:rPr>
          <w:rFonts w:hint="eastAsia"/>
          <w:lang w:val="en-US" w:eastAsia="zh-CN"/>
        </w:rPr>
        <w:t>人员招聘完成情况如表2-1所示</w:t>
      </w:r>
    </w:p>
    <w:p w14:paraId="7498CA25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招聘计划表</w:t>
      </w:r>
    </w:p>
    <w:tbl>
      <w:tblPr>
        <w:tblStyle w:val="21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628"/>
        <w:gridCol w:w="1419"/>
        <w:gridCol w:w="1420"/>
        <w:gridCol w:w="1742"/>
        <w:gridCol w:w="1208"/>
      </w:tblGrid>
      <w:tr w14:paraId="6FEA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Align w:val="top"/>
          </w:tcPr>
          <w:p w14:paraId="2B3427EC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628" w:type="dxa"/>
            <w:vAlign w:val="top"/>
          </w:tcPr>
          <w:p w14:paraId="5F9D3AF1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419" w:type="dxa"/>
            <w:vAlign w:val="top"/>
          </w:tcPr>
          <w:p w14:paraId="7A7D32C7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420" w:type="dxa"/>
            <w:vAlign w:val="top"/>
          </w:tcPr>
          <w:p w14:paraId="07867CC4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42" w:type="dxa"/>
            <w:vAlign w:val="top"/>
          </w:tcPr>
          <w:p w14:paraId="61E56B46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08" w:type="dxa"/>
            <w:vAlign w:val="top"/>
          </w:tcPr>
          <w:p w14:paraId="1D29BB04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6F7C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Align w:val="top"/>
          </w:tcPr>
          <w:p w14:paraId="09CFE90B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628" w:type="dxa"/>
            <w:vAlign w:val="top"/>
          </w:tcPr>
          <w:p w14:paraId="02001AFA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  <w:vAlign w:val="top"/>
          </w:tcPr>
          <w:p w14:paraId="3DCD475A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  <w:vAlign w:val="top"/>
          </w:tcPr>
          <w:p w14:paraId="7B62F144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42" w:type="dxa"/>
            <w:vAlign w:val="top"/>
          </w:tcPr>
          <w:p w14:paraId="4B11708B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8" w:type="dxa"/>
            <w:vAlign w:val="top"/>
          </w:tcPr>
          <w:p w14:paraId="34436DDB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0C1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  <w:vAlign w:val="top"/>
          </w:tcPr>
          <w:p w14:paraId="2C81FDBA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628" w:type="dxa"/>
            <w:vAlign w:val="top"/>
          </w:tcPr>
          <w:p w14:paraId="027F52CF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419" w:type="dxa"/>
            <w:vAlign w:val="top"/>
          </w:tcPr>
          <w:p w14:paraId="0A42D7ED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420" w:type="dxa"/>
            <w:vAlign w:val="top"/>
          </w:tcPr>
          <w:p w14:paraId="393F08C4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  <w:vAlign w:val="top"/>
          </w:tcPr>
          <w:p w14:paraId="0C0870B6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8" w:type="dxa"/>
            <w:vAlign w:val="top"/>
          </w:tcPr>
          <w:p w14:paraId="7A7E4C11">
            <w:pPr>
              <w:pStyle w:val="29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68A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  <w:vAlign w:val="top"/>
          </w:tcPr>
          <w:p w14:paraId="348F552A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vAlign w:val="top"/>
          </w:tcPr>
          <w:p w14:paraId="1B21516F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419" w:type="dxa"/>
            <w:vAlign w:val="top"/>
          </w:tcPr>
          <w:p w14:paraId="3E9984B9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  <w:vAlign w:val="top"/>
          </w:tcPr>
          <w:p w14:paraId="6A30AFF3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  <w:vAlign w:val="top"/>
          </w:tcPr>
          <w:p w14:paraId="142B9756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8" w:type="dxa"/>
            <w:vAlign w:val="top"/>
          </w:tcPr>
          <w:p w14:paraId="43F6F85F">
            <w:pPr>
              <w:pStyle w:val="29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78F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  <w:vAlign w:val="top"/>
          </w:tcPr>
          <w:p w14:paraId="55D08021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628" w:type="dxa"/>
            <w:vAlign w:val="top"/>
          </w:tcPr>
          <w:p w14:paraId="1D14F52A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  <w:vAlign w:val="top"/>
          </w:tcPr>
          <w:p w14:paraId="5B4BD317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  <w:vAlign w:val="top"/>
          </w:tcPr>
          <w:p w14:paraId="25F8EF4C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  <w:vAlign w:val="top"/>
          </w:tcPr>
          <w:p w14:paraId="63025CC3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8" w:type="dxa"/>
            <w:vAlign w:val="top"/>
          </w:tcPr>
          <w:p w14:paraId="42333723">
            <w:pPr>
              <w:pStyle w:val="29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999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  <w:vAlign w:val="top"/>
          </w:tcPr>
          <w:p w14:paraId="51699D8D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vAlign w:val="top"/>
          </w:tcPr>
          <w:p w14:paraId="5B256D30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419" w:type="dxa"/>
            <w:vAlign w:val="top"/>
          </w:tcPr>
          <w:p w14:paraId="3AE559C1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420" w:type="dxa"/>
            <w:vAlign w:val="top"/>
          </w:tcPr>
          <w:p w14:paraId="4D26A369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  <w:vAlign w:val="top"/>
          </w:tcPr>
          <w:p w14:paraId="28B632C7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8" w:type="dxa"/>
            <w:vAlign w:val="top"/>
          </w:tcPr>
          <w:p w14:paraId="547432ED">
            <w:pPr>
              <w:pStyle w:val="29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AB6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Align w:val="top"/>
          </w:tcPr>
          <w:p w14:paraId="30D6C000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628" w:type="dxa"/>
            <w:vAlign w:val="top"/>
          </w:tcPr>
          <w:p w14:paraId="6218F30A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19" w:type="dxa"/>
            <w:vAlign w:val="top"/>
          </w:tcPr>
          <w:p w14:paraId="0C82106B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20" w:type="dxa"/>
            <w:vAlign w:val="top"/>
          </w:tcPr>
          <w:p w14:paraId="37F86866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42" w:type="dxa"/>
            <w:vAlign w:val="top"/>
          </w:tcPr>
          <w:p w14:paraId="060813C9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208" w:type="dxa"/>
            <w:vAlign w:val="top"/>
          </w:tcPr>
          <w:p w14:paraId="4C9B23EE">
            <w:pPr>
              <w:pStyle w:val="29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3CDEBB84">
      <w:pPr>
        <w:pStyle w:val="30"/>
        <w:bidi w:val="0"/>
        <w:rPr>
          <w:rFonts w:hint="default"/>
          <w:lang w:val="en-US" w:eastAsia="zh-CN"/>
        </w:rPr>
      </w:pPr>
      <w:bookmarkStart w:id="5" w:name="_Toc6936"/>
      <w:r>
        <w:rPr>
          <w:rFonts w:hint="eastAsia"/>
          <w:lang w:val="en-US" w:eastAsia="zh-CN"/>
        </w:rPr>
        <w:t>人员储备完成情况</w:t>
      </w:r>
      <w:bookmarkEnd w:id="5"/>
    </w:p>
    <w:p w14:paraId="370F24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截至2025年10月30日，公司人员储备计划执行顺利，各项培养措施按计划推进，</w:t>
      </w:r>
      <w:r>
        <w:rPr>
          <w:rFonts w:hint="eastAsia"/>
          <w:lang w:val="en-US" w:eastAsia="zh-CN"/>
        </w:rPr>
        <w:t>储备运维部经理2人，运维项目经理1人，储备完成率100%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计划于11月完成研发部经理的储备工作。</w:t>
      </w:r>
      <w:r>
        <w:rPr>
          <w:rFonts w:hint="default"/>
          <w:lang w:val="en-US" w:eastAsia="zh-CN"/>
        </w:rPr>
        <w:t>人员储备完成情况如表2-2所示。</w:t>
      </w:r>
    </w:p>
    <w:p w14:paraId="140D11EF">
      <w:pPr>
        <w:pStyle w:val="2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002"/>
        <w:gridCol w:w="1002"/>
        <w:gridCol w:w="3183"/>
        <w:gridCol w:w="830"/>
        <w:gridCol w:w="830"/>
      </w:tblGrid>
      <w:tr w14:paraId="3780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5EF65BF3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1002" w:type="dxa"/>
          </w:tcPr>
          <w:p w14:paraId="1BEF8309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1002" w:type="dxa"/>
          </w:tcPr>
          <w:p w14:paraId="2D4A903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3183" w:type="dxa"/>
          </w:tcPr>
          <w:p w14:paraId="01251FF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核心培新措施</w:t>
            </w:r>
          </w:p>
        </w:tc>
        <w:tc>
          <w:tcPr>
            <w:tcW w:w="830" w:type="dxa"/>
          </w:tcPr>
          <w:p w14:paraId="56290279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830" w:type="dxa"/>
          </w:tcPr>
          <w:p w14:paraId="69451398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完成情况</w:t>
            </w:r>
          </w:p>
        </w:tc>
      </w:tr>
      <w:tr w14:paraId="54D0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1" w:type="dxa"/>
          </w:tcPr>
          <w:p w14:paraId="6E60C672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002" w:type="dxa"/>
          </w:tcPr>
          <w:p w14:paraId="585444CF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1002" w:type="dxa"/>
          </w:tcPr>
          <w:p w14:paraId="014DD694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现任运维项目经理</w:t>
            </w:r>
          </w:p>
        </w:tc>
        <w:tc>
          <w:tcPr>
            <w:tcW w:w="3183" w:type="dxa"/>
          </w:tcPr>
          <w:p w14:paraId="276D7C7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795C00D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短期轮岗至研发部、质量部，了解全业务链</w:t>
            </w:r>
          </w:p>
          <w:p w14:paraId="2D3F742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830" w:type="dxa"/>
          </w:tcPr>
          <w:p w14:paraId="5805D519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830" w:type="dxa"/>
          </w:tcPr>
          <w:p w14:paraId="0A9648A9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69AA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70D537A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02" w:type="dxa"/>
          </w:tcPr>
          <w:p w14:paraId="6B7AD997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002" w:type="dxa"/>
          </w:tcPr>
          <w:p w14:paraId="690B3FB0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3183" w:type="dxa"/>
          </w:tcPr>
          <w:p w14:paraId="221CD91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0DDAABC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79B45B8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830" w:type="dxa"/>
          </w:tcPr>
          <w:p w14:paraId="64441780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  <w:tc>
          <w:tcPr>
            <w:tcW w:w="830" w:type="dxa"/>
          </w:tcPr>
          <w:p w14:paraId="27ECB3ED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0A0A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28DD1D9C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002" w:type="dxa"/>
          </w:tcPr>
          <w:p w14:paraId="18848C2F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002" w:type="dxa"/>
          </w:tcPr>
          <w:p w14:paraId="09F38CE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3183" w:type="dxa"/>
          </w:tcPr>
          <w:p w14:paraId="0634FA7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1BE08A1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54C18C7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跟随项目经理参与客户需求调研，理解业务痛点</w:t>
            </w:r>
          </w:p>
        </w:tc>
        <w:tc>
          <w:tcPr>
            <w:tcW w:w="830" w:type="dxa"/>
          </w:tcPr>
          <w:p w14:paraId="2858CD9C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  <w:tc>
          <w:tcPr>
            <w:tcW w:w="830" w:type="dxa"/>
          </w:tcPr>
          <w:p w14:paraId="4F5009AE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未开始</w:t>
            </w:r>
          </w:p>
        </w:tc>
      </w:tr>
    </w:tbl>
    <w:p w14:paraId="1E8A8C10">
      <w:pPr>
        <w:pStyle w:val="30"/>
        <w:bidi w:val="0"/>
        <w:rPr>
          <w:rFonts w:hint="eastAsia"/>
          <w:lang w:val="en-US" w:eastAsia="zh-CN"/>
        </w:rPr>
      </w:pPr>
      <w:bookmarkStart w:id="6" w:name="_Toc10552"/>
      <w:r>
        <w:rPr>
          <w:rFonts w:hint="eastAsia"/>
          <w:lang w:val="en-US" w:eastAsia="zh-CN"/>
        </w:rPr>
        <w:t>人员绩效考核完成情况</w:t>
      </w:r>
      <w:bookmarkEnd w:id="6"/>
    </w:p>
    <w:p w14:paraId="6F88EB7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公司人力部严格按照《人员绩效考核管理制度》开展工作，按月跟进运维相关人员绩效考核结果。人力部</w:t>
      </w:r>
      <w:r>
        <w:t>按照绩效考核制度的要求，每</w:t>
      </w:r>
      <w:r>
        <w:rPr>
          <w:rFonts w:hint="eastAsia"/>
          <w:lang w:val="en-US" w:eastAsia="zh-CN"/>
        </w:rPr>
        <w:t>月</w:t>
      </w:r>
      <w:r>
        <w:t>对公司各岗位人员进行了考核，经整理各岗位的绩效考核结果，公司人员的绩效得分平均在93分左右</w:t>
      </w:r>
      <w:r>
        <w:rPr>
          <w:rFonts w:hint="eastAsia"/>
          <w:lang w:eastAsia="zh-CN"/>
        </w:rPr>
        <w:t>，</w:t>
      </w:r>
      <w:r>
        <w:t>绩效评价等级为</w:t>
      </w:r>
      <w:r>
        <w:rPr>
          <w:rFonts w:hint="eastAsia"/>
          <w:lang w:val="en-US" w:eastAsia="zh-CN"/>
        </w:rPr>
        <w:t>C</w:t>
      </w:r>
      <w:r>
        <w:t>，达到绩效考核合格率≥95%的要求。</w:t>
      </w:r>
    </w:p>
    <w:p w14:paraId="5B2E185B">
      <w:pPr>
        <w:pStyle w:val="30"/>
        <w:bidi w:val="0"/>
        <w:rPr>
          <w:rFonts w:hint="eastAsia"/>
          <w:lang w:val="en-US" w:eastAsia="zh-CN"/>
        </w:rPr>
      </w:pPr>
      <w:bookmarkStart w:id="7" w:name="_Toc26586"/>
      <w:r>
        <w:rPr>
          <w:rFonts w:hint="eastAsia"/>
          <w:lang w:val="en-US" w:eastAsia="zh-CN"/>
        </w:rPr>
        <w:t>人员技能评定完成情况</w:t>
      </w:r>
      <w:bookmarkEnd w:id="7"/>
    </w:p>
    <w:p w14:paraId="2741F0F0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按照人员技能评定管理制度的要求，每季度对公司各岗位人员进行了评价，经整理各岗位的技能评价结果，目前公司人员的技能得分平均在98分左右。人员能力合格率≥95%，满足服务目录和运维业务发展要求。</w:t>
      </w:r>
    </w:p>
    <w:p w14:paraId="6DC70F73">
      <w:pPr>
        <w:pStyle w:val="30"/>
        <w:bidi w:val="0"/>
        <w:rPr>
          <w:rFonts w:hint="eastAsia"/>
          <w:lang w:val="en-US" w:eastAsia="zh-CN"/>
        </w:rPr>
      </w:pPr>
      <w:bookmarkStart w:id="8" w:name="_Toc2851"/>
      <w:r>
        <w:rPr>
          <w:rFonts w:hint="eastAsia"/>
          <w:lang w:val="en-US" w:eastAsia="zh-CN"/>
        </w:rPr>
        <w:t>人员培训完成情况</w:t>
      </w:r>
      <w:bookmarkEnd w:id="8"/>
    </w:p>
    <w:p w14:paraId="76EC4CC0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培训按时完成，培训计划完成率100%，达到目标要求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人员培训完成情况如表2-3所示。</w:t>
      </w:r>
    </w:p>
    <w:p w14:paraId="783B7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6410788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</w:p>
    <w:p w14:paraId="70D09FC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2361"/>
        <w:gridCol w:w="1314"/>
        <w:gridCol w:w="1314"/>
        <w:gridCol w:w="1276"/>
        <w:gridCol w:w="1274"/>
      </w:tblGrid>
      <w:tr w14:paraId="1B8E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 w14:paraId="5837718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361" w:type="dxa"/>
            <w:vAlign w:val="top"/>
          </w:tcPr>
          <w:p w14:paraId="6653499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314" w:type="dxa"/>
            <w:vAlign w:val="top"/>
          </w:tcPr>
          <w:p w14:paraId="10A9D7E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314" w:type="dxa"/>
            <w:vAlign w:val="top"/>
          </w:tcPr>
          <w:p w14:paraId="04865F9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276" w:type="dxa"/>
            <w:vAlign w:val="top"/>
          </w:tcPr>
          <w:p w14:paraId="4767C33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  <w:tc>
          <w:tcPr>
            <w:tcW w:w="1274" w:type="dxa"/>
            <w:vAlign w:val="top"/>
          </w:tcPr>
          <w:p w14:paraId="38FA786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2191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top"/>
          </w:tcPr>
          <w:p w14:paraId="7439489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第一季度（Q1）</w:t>
            </w:r>
          </w:p>
        </w:tc>
        <w:tc>
          <w:tcPr>
            <w:tcW w:w="2361" w:type="dxa"/>
            <w:vAlign w:val="top"/>
          </w:tcPr>
          <w:p w14:paraId="4F4109D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314" w:type="dxa"/>
            <w:vAlign w:val="top"/>
          </w:tcPr>
          <w:p w14:paraId="35F0C7C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314" w:type="dxa"/>
            <w:vAlign w:val="top"/>
          </w:tcPr>
          <w:p w14:paraId="5FD5B51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Q1中期</w:t>
            </w:r>
          </w:p>
        </w:tc>
        <w:tc>
          <w:tcPr>
            <w:tcW w:w="1276" w:type="dxa"/>
            <w:vAlign w:val="top"/>
          </w:tcPr>
          <w:p w14:paraId="0805D7C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274" w:type="dxa"/>
            <w:vAlign w:val="top"/>
          </w:tcPr>
          <w:p w14:paraId="45D4824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5E8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1258B17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31184CA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ITSS服务标准基础概念</w:t>
            </w:r>
          </w:p>
        </w:tc>
        <w:tc>
          <w:tcPr>
            <w:tcW w:w="1314" w:type="dxa"/>
            <w:vAlign w:val="top"/>
          </w:tcPr>
          <w:p w14:paraId="3B84107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运维部、质量部、人力部</w:t>
            </w:r>
          </w:p>
        </w:tc>
        <w:tc>
          <w:tcPr>
            <w:tcW w:w="1314" w:type="dxa"/>
            <w:vAlign w:val="top"/>
          </w:tcPr>
          <w:p w14:paraId="3E29C05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Q1后期</w:t>
            </w:r>
          </w:p>
        </w:tc>
        <w:tc>
          <w:tcPr>
            <w:tcW w:w="1276" w:type="dxa"/>
            <w:vAlign w:val="top"/>
          </w:tcPr>
          <w:p w14:paraId="5AEF3D7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274" w:type="dxa"/>
            <w:vAlign w:val="top"/>
          </w:tcPr>
          <w:p w14:paraId="4E76B22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5A2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5E7ACF0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28C935A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314" w:type="dxa"/>
            <w:vAlign w:val="top"/>
          </w:tcPr>
          <w:p w14:paraId="1EB4A0A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314" w:type="dxa"/>
            <w:vAlign w:val="top"/>
          </w:tcPr>
          <w:p w14:paraId="4D3C813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Q1后期</w:t>
            </w:r>
          </w:p>
        </w:tc>
        <w:tc>
          <w:tcPr>
            <w:tcW w:w="1276" w:type="dxa"/>
            <w:vAlign w:val="top"/>
          </w:tcPr>
          <w:p w14:paraId="2B695C0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  <w:tc>
          <w:tcPr>
            <w:tcW w:w="1274" w:type="dxa"/>
            <w:vAlign w:val="top"/>
          </w:tcPr>
          <w:p w14:paraId="6260E08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58BF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top"/>
          </w:tcPr>
          <w:p w14:paraId="4E61176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第二季度（Q2）</w:t>
            </w:r>
          </w:p>
        </w:tc>
        <w:tc>
          <w:tcPr>
            <w:tcW w:w="2361" w:type="dxa"/>
            <w:vAlign w:val="top"/>
          </w:tcPr>
          <w:p w14:paraId="68ADC78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314" w:type="dxa"/>
            <w:vAlign w:val="top"/>
          </w:tcPr>
          <w:p w14:paraId="68E2B38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314" w:type="dxa"/>
            <w:vAlign w:val="top"/>
          </w:tcPr>
          <w:p w14:paraId="5451C33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Q2中期</w:t>
            </w:r>
          </w:p>
        </w:tc>
        <w:tc>
          <w:tcPr>
            <w:tcW w:w="1276" w:type="dxa"/>
            <w:vAlign w:val="top"/>
          </w:tcPr>
          <w:p w14:paraId="2E6ADB8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274" w:type="dxa"/>
            <w:vAlign w:val="top"/>
          </w:tcPr>
          <w:p w14:paraId="1CB49D4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070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3D69261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2342AF8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314" w:type="dxa"/>
            <w:vAlign w:val="top"/>
          </w:tcPr>
          <w:p w14:paraId="6399C03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314" w:type="dxa"/>
            <w:vAlign w:val="top"/>
          </w:tcPr>
          <w:p w14:paraId="50617DE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Q2中期</w:t>
            </w:r>
          </w:p>
        </w:tc>
        <w:tc>
          <w:tcPr>
            <w:tcW w:w="1276" w:type="dxa"/>
            <w:vAlign w:val="top"/>
          </w:tcPr>
          <w:p w14:paraId="15A9DD1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274" w:type="dxa"/>
            <w:vAlign w:val="top"/>
          </w:tcPr>
          <w:p w14:paraId="079B6AB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6DA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6AAB369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7300414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314" w:type="dxa"/>
            <w:vAlign w:val="top"/>
          </w:tcPr>
          <w:p w14:paraId="6CC11F5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314" w:type="dxa"/>
            <w:vAlign w:val="top"/>
          </w:tcPr>
          <w:p w14:paraId="07371B0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Q2后期</w:t>
            </w:r>
          </w:p>
        </w:tc>
        <w:tc>
          <w:tcPr>
            <w:tcW w:w="1276" w:type="dxa"/>
            <w:vAlign w:val="top"/>
          </w:tcPr>
          <w:p w14:paraId="2197F2C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274" w:type="dxa"/>
            <w:vAlign w:val="top"/>
          </w:tcPr>
          <w:p w14:paraId="5C833A0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DC3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0C3C537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7FA365C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314" w:type="dxa"/>
            <w:vAlign w:val="top"/>
          </w:tcPr>
          <w:p w14:paraId="2556076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44D7D8D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Q2后期</w:t>
            </w:r>
          </w:p>
        </w:tc>
        <w:tc>
          <w:tcPr>
            <w:tcW w:w="1276" w:type="dxa"/>
            <w:vAlign w:val="top"/>
          </w:tcPr>
          <w:p w14:paraId="3BA8401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  <w:tc>
          <w:tcPr>
            <w:tcW w:w="1274" w:type="dxa"/>
            <w:vAlign w:val="top"/>
          </w:tcPr>
          <w:p w14:paraId="1EEF164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914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top"/>
          </w:tcPr>
          <w:p w14:paraId="462660C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第三季度（Q3）</w:t>
            </w:r>
          </w:p>
        </w:tc>
        <w:tc>
          <w:tcPr>
            <w:tcW w:w="2361" w:type="dxa"/>
            <w:vAlign w:val="top"/>
          </w:tcPr>
          <w:p w14:paraId="1670B38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314" w:type="dxa"/>
            <w:vAlign w:val="top"/>
          </w:tcPr>
          <w:p w14:paraId="7B1D773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1B40B2A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Q3前期</w:t>
            </w:r>
          </w:p>
        </w:tc>
        <w:tc>
          <w:tcPr>
            <w:tcW w:w="1276" w:type="dxa"/>
            <w:vAlign w:val="top"/>
          </w:tcPr>
          <w:p w14:paraId="305FC9B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  <w:tc>
          <w:tcPr>
            <w:tcW w:w="1274" w:type="dxa"/>
            <w:vAlign w:val="top"/>
          </w:tcPr>
          <w:p w14:paraId="2418217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8E3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77A8A3F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2082AF5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云平台基础</w:t>
            </w:r>
          </w:p>
        </w:tc>
        <w:tc>
          <w:tcPr>
            <w:tcW w:w="1314" w:type="dxa"/>
            <w:vAlign w:val="top"/>
          </w:tcPr>
          <w:p w14:paraId="0EB079B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5ACDD2A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Q3中期</w:t>
            </w:r>
          </w:p>
        </w:tc>
        <w:tc>
          <w:tcPr>
            <w:tcW w:w="1276" w:type="dxa"/>
            <w:vAlign w:val="top"/>
          </w:tcPr>
          <w:p w14:paraId="275D596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认证培训</w:t>
            </w:r>
          </w:p>
        </w:tc>
        <w:tc>
          <w:tcPr>
            <w:tcW w:w="1274" w:type="dxa"/>
            <w:vAlign w:val="top"/>
          </w:tcPr>
          <w:p w14:paraId="10B75B7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05B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7AE8A32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733CD79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客户沟通与投诉处理</w:t>
            </w:r>
          </w:p>
        </w:tc>
        <w:tc>
          <w:tcPr>
            <w:tcW w:w="1314" w:type="dxa"/>
            <w:vAlign w:val="top"/>
          </w:tcPr>
          <w:p w14:paraId="1834830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38EF18E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Q3中期</w:t>
            </w:r>
          </w:p>
        </w:tc>
        <w:tc>
          <w:tcPr>
            <w:tcW w:w="1276" w:type="dxa"/>
            <w:vAlign w:val="top"/>
          </w:tcPr>
          <w:p w14:paraId="780F4CF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  <w:tc>
          <w:tcPr>
            <w:tcW w:w="1274" w:type="dxa"/>
            <w:vAlign w:val="top"/>
          </w:tcPr>
          <w:p w14:paraId="1344870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2ED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513CE46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1BA639F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314" w:type="dxa"/>
            <w:vAlign w:val="top"/>
          </w:tcPr>
          <w:p w14:paraId="40525C2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运维部、研发部、质量部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7335E58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Q3后期</w:t>
            </w:r>
          </w:p>
        </w:tc>
        <w:tc>
          <w:tcPr>
            <w:tcW w:w="1276" w:type="dxa"/>
            <w:vAlign w:val="top"/>
          </w:tcPr>
          <w:p w14:paraId="4D87746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  <w:tc>
          <w:tcPr>
            <w:tcW w:w="1274" w:type="dxa"/>
            <w:vAlign w:val="top"/>
          </w:tcPr>
          <w:p w14:paraId="0D81826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C3E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top"/>
          </w:tcPr>
          <w:p w14:paraId="1DD913A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  <w:p w14:paraId="5B09A74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（Q4）</w:t>
            </w:r>
          </w:p>
        </w:tc>
        <w:tc>
          <w:tcPr>
            <w:tcW w:w="2361" w:type="dxa"/>
            <w:vAlign w:val="top"/>
          </w:tcPr>
          <w:p w14:paraId="51D9978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314" w:type="dxa"/>
            <w:vAlign w:val="top"/>
          </w:tcPr>
          <w:p w14:paraId="23C9DB0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2E3745D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Q4前期</w:t>
            </w:r>
          </w:p>
        </w:tc>
        <w:tc>
          <w:tcPr>
            <w:tcW w:w="1276" w:type="dxa"/>
            <w:vAlign w:val="top"/>
          </w:tcPr>
          <w:p w14:paraId="7CEA48C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274" w:type="dxa"/>
            <w:vAlign w:val="top"/>
          </w:tcPr>
          <w:p w14:paraId="66D987C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进行中</w:t>
            </w:r>
          </w:p>
        </w:tc>
      </w:tr>
      <w:tr w14:paraId="45B0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312765C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6B9092D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微服务框架与容器技术</w:t>
            </w:r>
          </w:p>
        </w:tc>
        <w:tc>
          <w:tcPr>
            <w:tcW w:w="1314" w:type="dxa"/>
            <w:vAlign w:val="top"/>
          </w:tcPr>
          <w:p w14:paraId="7963FA4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24B0ACE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Q4中期</w:t>
            </w:r>
          </w:p>
        </w:tc>
        <w:tc>
          <w:tcPr>
            <w:tcW w:w="1276" w:type="dxa"/>
            <w:vAlign w:val="top"/>
          </w:tcPr>
          <w:p w14:paraId="084F7E5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274" w:type="dxa"/>
            <w:vAlign w:val="top"/>
          </w:tcPr>
          <w:p w14:paraId="66AA27F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未开始</w:t>
            </w:r>
          </w:p>
        </w:tc>
      </w:tr>
      <w:tr w14:paraId="30B8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391212B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5E15CD9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314" w:type="dxa"/>
            <w:vAlign w:val="top"/>
          </w:tcPr>
          <w:p w14:paraId="3F8FE6A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1E63D8C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Q4后期</w:t>
            </w:r>
          </w:p>
        </w:tc>
        <w:tc>
          <w:tcPr>
            <w:tcW w:w="1276" w:type="dxa"/>
            <w:vAlign w:val="top"/>
          </w:tcPr>
          <w:p w14:paraId="530991B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  <w:tc>
          <w:tcPr>
            <w:tcW w:w="1274" w:type="dxa"/>
            <w:vAlign w:val="top"/>
          </w:tcPr>
          <w:p w14:paraId="0D722BA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未开始</w:t>
            </w:r>
          </w:p>
        </w:tc>
      </w:tr>
      <w:tr w14:paraId="5DB44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top"/>
          </w:tcPr>
          <w:p w14:paraId="371F5EA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vAlign w:val="top"/>
          </w:tcPr>
          <w:p w14:paraId="6904DA7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314" w:type="dxa"/>
            <w:vAlign w:val="top"/>
          </w:tcPr>
          <w:p w14:paraId="0B267CD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部门经理、运维项目经理</w:t>
            </w:r>
          </w:p>
        </w:tc>
        <w:tc>
          <w:tcPr>
            <w:tcW w:w="1314" w:type="dxa"/>
            <w:shd w:val="clear" w:color="auto" w:fill="auto"/>
            <w:vAlign w:val="top"/>
          </w:tcPr>
          <w:p w14:paraId="1E238A8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Q4后期</w:t>
            </w:r>
          </w:p>
        </w:tc>
        <w:tc>
          <w:tcPr>
            <w:tcW w:w="1276" w:type="dxa"/>
            <w:vAlign w:val="top"/>
          </w:tcPr>
          <w:p w14:paraId="04E34F5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274" w:type="dxa"/>
            <w:vAlign w:val="top"/>
          </w:tcPr>
          <w:p w14:paraId="0EBE9AC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未开始</w:t>
            </w:r>
          </w:p>
        </w:tc>
      </w:tr>
    </w:tbl>
    <w:p w14:paraId="6346C6D3">
      <w:pPr>
        <w:pStyle w:val="30"/>
        <w:bidi w:val="0"/>
        <w:rPr>
          <w:rFonts w:hint="default"/>
          <w:lang w:val="en-US" w:eastAsia="zh-CN"/>
        </w:rPr>
      </w:pPr>
      <w:bookmarkStart w:id="9" w:name="_Toc29998"/>
      <w:r>
        <w:rPr>
          <w:rFonts w:hint="eastAsia"/>
          <w:lang w:val="en-US" w:eastAsia="zh-CN"/>
        </w:rPr>
        <w:t>人员备份完成情况</w:t>
      </w:r>
      <w:bookmarkEnd w:id="9"/>
    </w:p>
    <w:p w14:paraId="05F117FD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</w:rPr>
        <w:t>公司在运维部经理、</w:t>
      </w:r>
      <w:r>
        <w:rPr>
          <w:rFonts w:hint="eastAsia"/>
          <w:lang w:val="en-US" w:eastAsia="zh-CN"/>
        </w:rPr>
        <w:t>开发工程师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采购专员等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  <w:bookmarkStart w:id="10" w:name="bookmark14"/>
      <w:bookmarkEnd w:id="10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9049D8"/>
    <w:rsid w:val="009E70F5"/>
    <w:rsid w:val="00D74EA1"/>
    <w:rsid w:val="0104303E"/>
    <w:rsid w:val="01E07299"/>
    <w:rsid w:val="0211124F"/>
    <w:rsid w:val="022E230C"/>
    <w:rsid w:val="029C58B6"/>
    <w:rsid w:val="02B95F3C"/>
    <w:rsid w:val="02CE3596"/>
    <w:rsid w:val="02EA4873"/>
    <w:rsid w:val="03212CC7"/>
    <w:rsid w:val="040604A9"/>
    <w:rsid w:val="052B1173"/>
    <w:rsid w:val="056A54E2"/>
    <w:rsid w:val="057F6DC9"/>
    <w:rsid w:val="05980692"/>
    <w:rsid w:val="05B64EE1"/>
    <w:rsid w:val="073D05DE"/>
    <w:rsid w:val="076444C8"/>
    <w:rsid w:val="07660A33"/>
    <w:rsid w:val="07666493"/>
    <w:rsid w:val="07911761"/>
    <w:rsid w:val="080D4B60"/>
    <w:rsid w:val="08A92ADB"/>
    <w:rsid w:val="09975029"/>
    <w:rsid w:val="09C85728"/>
    <w:rsid w:val="09D65B51"/>
    <w:rsid w:val="09F2400E"/>
    <w:rsid w:val="09FC6C3A"/>
    <w:rsid w:val="0CF12BAD"/>
    <w:rsid w:val="0DAB10A3"/>
    <w:rsid w:val="0F4F57A4"/>
    <w:rsid w:val="0FD115EF"/>
    <w:rsid w:val="103A58B2"/>
    <w:rsid w:val="104E60CE"/>
    <w:rsid w:val="104F3F68"/>
    <w:rsid w:val="10EA019F"/>
    <w:rsid w:val="10F733B1"/>
    <w:rsid w:val="123E24E6"/>
    <w:rsid w:val="127C6B6A"/>
    <w:rsid w:val="12B10F0A"/>
    <w:rsid w:val="12B37893"/>
    <w:rsid w:val="130374E3"/>
    <w:rsid w:val="130628D8"/>
    <w:rsid w:val="131B2827"/>
    <w:rsid w:val="132B7E85"/>
    <w:rsid w:val="13741F37"/>
    <w:rsid w:val="139879D4"/>
    <w:rsid w:val="13B2334D"/>
    <w:rsid w:val="13D604FC"/>
    <w:rsid w:val="147815B3"/>
    <w:rsid w:val="14B42767"/>
    <w:rsid w:val="15CC7E09"/>
    <w:rsid w:val="15EC2259"/>
    <w:rsid w:val="16B0772A"/>
    <w:rsid w:val="16F13FCB"/>
    <w:rsid w:val="170D06D9"/>
    <w:rsid w:val="17103D25"/>
    <w:rsid w:val="17710C68"/>
    <w:rsid w:val="17BE19D3"/>
    <w:rsid w:val="17C87A57"/>
    <w:rsid w:val="17D71D89"/>
    <w:rsid w:val="17DF25E3"/>
    <w:rsid w:val="17E551B2"/>
    <w:rsid w:val="18846779"/>
    <w:rsid w:val="18F465E3"/>
    <w:rsid w:val="190478B9"/>
    <w:rsid w:val="19433FCE"/>
    <w:rsid w:val="19597D57"/>
    <w:rsid w:val="19E020D4"/>
    <w:rsid w:val="1A044015"/>
    <w:rsid w:val="1A292F77"/>
    <w:rsid w:val="1A3B555D"/>
    <w:rsid w:val="1A7154EF"/>
    <w:rsid w:val="1A9923D9"/>
    <w:rsid w:val="1AE24694"/>
    <w:rsid w:val="1AE80650"/>
    <w:rsid w:val="1B3501FE"/>
    <w:rsid w:val="1BC709D8"/>
    <w:rsid w:val="1BDB0DA5"/>
    <w:rsid w:val="1D083E1C"/>
    <w:rsid w:val="1D997E65"/>
    <w:rsid w:val="1E390005"/>
    <w:rsid w:val="1E4C5C9B"/>
    <w:rsid w:val="1E692834"/>
    <w:rsid w:val="1E7B061E"/>
    <w:rsid w:val="1EFD1033"/>
    <w:rsid w:val="1FCB1131"/>
    <w:rsid w:val="1FD12871"/>
    <w:rsid w:val="20A06EA1"/>
    <w:rsid w:val="20D91840"/>
    <w:rsid w:val="20E223FB"/>
    <w:rsid w:val="215C6FE4"/>
    <w:rsid w:val="22792CA9"/>
    <w:rsid w:val="227930C6"/>
    <w:rsid w:val="22873A35"/>
    <w:rsid w:val="22A00653"/>
    <w:rsid w:val="22FF181D"/>
    <w:rsid w:val="23A26E72"/>
    <w:rsid w:val="23DD436C"/>
    <w:rsid w:val="23FD59BD"/>
    <w:rsid w:val="25190E28"/>
    <w:rsid w:val="256C6F12"/>
    <w:rsid w:val="257D2ECD"/>
    <w:rsid w:val="266A3452"/>
    <w:rsid w:val="26C427F2"/>
    <w:rsid w:val="271433BD"/>
    <w:rsid w:val="28876D66"/>
    <w:rsid w:val="2908648D"/>
    <w:rsid w:val="294F2DD3"/>
    <w:rsid w:val="2975663E"/>
    <w:rsid w:val="298F1421"/>
    <w:rsid w:val="29FC2156"/>
    <w:rsid w:val="2A585CB7"/>
    <w:rsid w:val="2A5A71A5"/>
    <w:rsid w:val="2A8B4DF8"/>
    <w:rsid w:val="2A8B6C6D"/>
    <w:rsid w:val="2AAC7C57"/>
    <w:rsid w:val="2AEA05DB"/>
    <w:rsid w:val="2B2F4C6A"/>
    <w:rsid w:val="2B612949"/>
    <w:rsid w:val="2B6F3CF3"/>
    <w:rsid w:val="2C727A08"/>
    <w:rsid w:val="2CB5119F"/>
    <w:rsid w:val="2E267CD1"/>
    <w:rsid w:val="2E500F2E"/>
    <w:rsid w:val="2EA339A5"/>
    <w:rsid w:val="2EBC05C2"/>
    <w:rsid w:val="2F041F69"/>
    <w:rsid w:val="2FC040E2"/>
    <w:rsid w:val="2FC11C09"/>
    <w:rsid w:val="303845C1"/>
    <w:rsid w:val="304E2668"/>
    <w:rsid w:val="307B625B"/>
    <w:rsid w:val="30AF3C4B"/>
    <w:rsid w:val="31464ABB"/>
    <w:rsid w:val="31F664E1"/>
    <w:rsid w:val="32DC13D3"/>
    <w:rsid w:val="333746BC"/>
    <w:rsid w:val="33596D28"/>
    <w:rsid w:val="343E5F1E"/>
    <w:rsid w:val="346C0F8D"/>
    <w:rsid w:val="34AD3805"/>
    <w:rsid w:val="350D601C"/>
    <w:rsid w:val="356C3F5C"/>
    <w:rsid w:val="35B40A2A"/>
    <w:rsid w:val="35DE67BA"/>
    <w:rsid w:val="365550A3"/>
    <w:rsid w:val="36883480"/>
    <w:rsid w:val="36914A2B"/>
    <w:rsid w:val="3699743B"/>
    <w:rsid w:val="375F2433"/>
    <w:rsid w:val="37737C8C"/>
    <w:rsid w:val="37971BCD"/>
    <w:rsid w:val="37DF17C6"/>
    <w:rsid w:val="37E666B0"/>
    <w:rsid w:val="3914549F"/>
    <w:rsid w:val="396106E4"/>
    <w:rsid w:val="3A886145"/>
    <w:rsid w:val="3A8A3C6B"/>
    <w:rsid w:val="3B084B8F"/>
    <w:rsid w:val="3BAE1B4E"/>
    <w:rsid w:val="3C265C15"/>
    <w:rsid w:val="3CE07B72"/>
    <w:rsid w:val="3D5F4115"/>
    <w:rsid w:val="3DC97D93"/>
    <w:rsid w:val="3E287A22"/>
    <w:rsid w:val="3E304B29"/>
    <w:rsid w:val="3E3C34CE"/>
    <w:rsid w:val="3E5A3954"/>
    <w:rsid w:val="3F2D2E17"/>
    <w:rsid w:val="40646D0C"/>
    <w:rsid w:val="40873B7A"/>
    <w:rsid w:val="40B11D0C"/>
    <w:rsid w:val="40B76E3C"/>
    <w:rsid w:val="41456B3D"/>
    <w:rsid w:val="41DA54D8"/>
    <w:rsid w:val="426164FC"/>
    <w:rsid w:val="43223C0F"/>
    <w:rsid w:val="43421755"/>
    <w:rsid w:val="4368266F"/>
    <w:rsid w:val="43996CCD"/>
    <w:rsid w:val="44136A7F"/>
    <w:rsid w:val="45036AF3"/>
    <w:rsid w:val="45EE5265"/>
    <w:rsid w:val="46971BE9"/>
    <w:rsid w:val="46BF2EEE"/>
    <w:rsid w:val="46CC73B9"/>
    <w:rsid w:val="472B0583"/>
    <w:rsid w:val="47BB1907"/>
    <w:rsid w:val="48360F8E"/>
    <w:rsid w:val="484F2050"/>
    <w:rsid w:val="48517B76"/>
    <w:rsid w:val="48D6451F"/>
    <w:rsid w:val="48FA020D"/>
    <w:rsid w:val="49417BA0"/>
    <w:rsid w:val="49915915"/>
    <w:rsid w:val="49B33C44"/>
    <w:rsid w:val="49CC1B61"/>
    <w:rsid w:val="4A8E613C"/>
    <w:rsid w:val="4B3C4B0D"/>
    <w:rsid w:val="4B6422B6"/>
    <w:rsid w:val="4BEF1B80"/>
    <w:rsid w:val="4BFB76A0"/>
    <w:rsid w:val="4C806C7C"/>
    <w:rsid w:val="4CD46FC7"/>
    <w:rsid w:val="4D1711C1"/>
    <w:rsid w:val="4D834FD8"/>
    <w:rsid w:val="4D8E361A"/>
    <w:rsid w:val="4E0B149B"/>
    <w:rsid w:val="4E4B32B9"/>
    <w:rsid w:val="4EC54E1A"/>
    <w:rsid w:val="4EE4744D"/>
    <w:rsid w:val="4EEC763F"/>
    <w:rsid w:val="4F302BDB"/>
    <w:rsid w:val="4F6F1974"/>
    <w:rsid w:val="4F7A3E56"/>
    <w:rsid w:val="503F29AA"/>
    <w:rsid w:val="50BE0A71"/>
    <w:rsid w:val="50CB420D"/>
    <w:rsid w:val="511C5981"/>
    <w:rsid w:val="51430B2C"/>
    <w:rsid w:val="51E53835"/>
    <w:rsid w:val="51F0261E"/>
    <w:rsid w:val="523D0E4F"/>
    <w:rsid w:val="5246001F"/>
    <w:rsid w:val="5486504B"/>
    <w:rsid w:val="54B12F7D"/>
    <w:rsid w:val="54CB7E3C"/>
    <w:rsid w:val="54E66A4D"/>
    <w:rsid w:val="56222B52"/>
    <w:rsid w:val="562E0934"/>
    <w:rsid w:val="5632548A"/>
    <w:rsid w:val="564B654C"/>
    <w:rsid w:val="571B77CE"/>
    <w:rsid w:val="57AE0B41"/>
    <w:rsid w:val="58675193"/>
    <w:rsid w:val="59C65376"/>
    <w:rsid w:val="59D042FF"/>
    <w:rsid w:val="5A6610C0"/>
    <w:rsid w:val="5B0B0058"/>
    <w:rsid w:val="5B85605C"/>
    <w:rsid w:val="5BBE50CA"/>
    <w:rsid w:val="5C5123E2"/>
    <w:rsid w:val="5C806824"/>
    <w:rsid w:val="5D0D6A04"/>
    <w:rsid w:val="5D1A6C78"/>
    <w:rsid w:val="5D2E6280"/>
    <w:rsid w:val="5D325D70"/>
    <w:rsid w:val="5D662B07"/>
    <w:rsid w:val="5D6677C8"/>
    <w:rsid w:val="5E6A32E8"/>
    <w:rsid w:val="5EFB71CC"/>
    <w:rsid w:val="5F7F1015"/>
    <w:rsid w:val="60732927"/>
    <w:rsid w:val="607D37A6"/>
    <w:rsid w:val="613E7799"/>
    <w:rsid w:val="615E200F"/>
    <w:rsid w:val="61AE5BE1"/>
    <w:rsid w:val="61CA1B71"/>
    <w:rsid w:val="6200643D"/>
    <w:rsid w:val="62312EF8"/>
    <w:rsid w:val="62375BD7"/>
    <w:rsid w:val="62CF5E0F"/>
    <w:rsid w:val="62D0609E"/>
    <w:rsid w:val="63352116"/>
    <w:rsid w:val="635D78BF"/>
    <w:rsid w:val="640721AA"/>
    <w:rsid w:val="647E75FB"/>
    <w:rsid w:val="64E41E18"/>
    <w:rsid w:val="652A5B5F"/>
    <w:rsid w:val="657F3B1C"/>
    <w:rsid w:val="659C092C"/>
    <w:rsid w:val="65C43C25"/>
    <w:rsid w:val="666A0329"/>
    <w:rsid w:val="66B6356E"/>
    <w:rsid w:val="66D67385"/>
    <w:rsid w:val="66F75934"/>
    <w:rsid w:val="67801DCE"/>
    <w:rsid w:val="6784366C"/>
    <w:rsid w:val="678C0773"/>
    <w:rsid w:val="67963F9C"/>
    <w:rsid w:val="68804644"/>
    <w:rsid w:val="698F3ABF"/>
    <w:rsid w:val="6A1F76BD"/>
    <w:rsid w:val="6AEC1C54"/>
    <w:rsid w:val="6B741C4A"/>
    <w:rsid w:val="6B7D3B37"/>
    <w:rsid w:val="6BAD2A66"/>
    <w:rsid w:val="6BF30DC0"/>
    <w:rsid w:val="6C5E393B"/>
    <w:rsid w:val="6D834437"/>
    <w:rsid w:val="6D994052"/>
    <w:rsid w:val="6DB46CBB"/>
    <w:rsid w:val="6E5F273D"/>
    <w:rsid w:val="6E6623CD"/>
    <w:rsid w:val="6E8E6B7E"/>
    <w:rsid w:val="6F851C86"/>
    <w:rsid w:val="6F887A72"/>
    <w:rsid w:val="6F992483"/>
    <w:rsid w:val="6FA80114"/>
    <w:rsid w:val="6FE5137E"/>
    <w:rsid w:val="705B15D4"/>
    <w:rsid w:val="711772FF"/>
    <w:rsid w:val="713003C1"/>
    <w:rsid w:val="7141437C"/>
    <w:rsid w:val="72582B3C"/>
    <w:rsid w:val="72E530F8"/>
    <w:rsid w:val="72FD2525"/>
    <w:rsid w:val="73593BFF"/>
    <w:rsid w:val="73644352"/>
    <w:rsid w:val="73AE76D8"/>
    <w:rsid w:val="73C7661F"/>
    <w:rsid w:val="74542618"/>
    <w:rsid w:val="74CB5A00"/>
    <w:rsid w:val="74F65B92"/>
    <w:rsid w:val="76033D17"/>
    <w:rsid w:val="76936097"/>
    <w:rsid w:val="76960176"/>
    <w:rsid w:val="76F6721A"/>
    <w:rsid w:val="770519A8"/>
    <w:rsid w:val="776C1A27"/>
    <w:rsid w:val="77AA4E45"/>
    <w:rsid w:val="783E1615"/>
    <w:rsid w:val="784719C3"/>
    <w:rsid w:val="788F1E71"/>
    <w:rsid w:val="78CA2EA9"/>
    <w:rsid w:val="78D1021F"/>
    <w:rsid w:val="7A1940E8"/>
    <w:rsid w:val="7A2F7467"/>
    <w:rsid w:val="7A410F49"/>
    <w:rsid w:val="7A6259E6"/>
    <w:rsid w:val="7A8629BB"/>
    <w:rsid w:val="7AB931D5"/>
    <w:rsid w:val="7B4E6013"/>
    <w:rsid w:val="7B5C70B9"/>
    <w:rsid w:val="7B86755B"/>
    <w:rsid w:val="7C06069C"/>
    <w:rsid w:val="7C066719"/>
    <w:rsid w:val="7C434C07"/>
    <w:rsid w:val="7CEA58C8"/>
    <w:rsid w:val="7D085F7C"/>
    <w:rsid w:val="7D0C7F34"/>
    <w:rsid w:val="7DA168CE"/>
    <w:rsid w:val="7DB008BF"/>
    <w:rsid w:val="7DF905A7"/>
    <w:rsid w:val="7E086FD3"/>
    <w:rsid w:val="7F0A749D"/>
    <w:rsid w:val="7F8244DD"/>
    <w:rsid w:val="7F9B10FB"/>
    <w:rsid w:val="7FC22B2C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2482</Words>
  <Characters>2752</Characters>
  <Lines>0</Lines>
  <Paragraphs>0</Paragraphs>
  <TotalTime>0</TotalTime>
  <ScaleCrop>false</ScaleCrop>
  <LinksUpToDate>false</LinksUpToDate>
  <CharactersWithSpaces>2877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2025-10-24T19:20:41Z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