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6FA79">
      <w:pPr>
        <w:pStyle w:val="24"/>
        <w:keepNext w:val="0"/>
        <w:keepLines w:val="0"/>
        <w:pageBreakBefore w:val="0"/>
        <w:widowControl w:val="0"/>
        <w:kinsoku w:val="0"/>
        <w:wordWrap/>
        <w:overflowPunct/>
        <w:topLinePunct w:val="0"/>
        <w:autoSpaceDE w:val="0"/>
        <w:autoSpaceDN w:val="0"/>
        <w:bidi w:val="0"/>
        <w:adjustRightInd w:val="0"/>
        <w:snapToGrid w:val="0"/>
        <w:spacing w:before="3121" w:beforeLines="1000"/>
        <w:textAlignment w:val="baseline"/>
      </w:pPr>
      <w:bookmarkStart w:id="0" w:name="_Toc27699"/>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7">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阿克苏智汇人才服务有限</w:t>
      </w:r>
      <w:r>
        <w:t>公司</w:t>
      </w:r>
      <w:bookmarkEnd w:id="0"/>
    </w:p>
    <w:p w14:paraId="1CA859AD">
      <w:pPr>
        <w:pStyle w:val="25"/>
        <w:keepNext w:val="0"/>
        <w:keepLines w:val="0"/>
        <w:pageBreakBefore w:val="0"/>
        <w:widowControl w:val="0"/>
        <w:kinsoku w:val="0"/>
        <w:wordWrap/>
        <w:overflowPunct/>
        <w:topLinePunct w:val="0"/>
        <w:autoSpaceDE w:val="0"/>
        <w:autoSpaceDN w:val="0"/>
        <w:bidi w:val="0"/>
        <w:adjustRightInd w:val="0"/>
        <w:snapToGrid w:val="0"/>
        <w:spacing w:before="0" w:after="625" w:afterLines="200"/>
        <w:textAlignment w:val="baseline"/>
        <w:rPr>
          <w:rFonts w:hint="eastAsia"/>
          <w:lang w:val="en-US" w:eastAsia="zh-CN"/>
        </w:rPr>
      </w:pPr>
      <w:bookmarkStart w:id="1" w:name="_Toc14240"/>
      <w:r>
        <w:rPr>
          <w:rFonts w:hint="eastAsia"/>
          <w:lang w:val="en-US" w:eastAsia="zh-CN"/>
        </w:rPr>
        <w:t>电子签名设备采购项目过程框架设计会议纪要</w:t>
      </w:r>
      <w:bookmarkEnd w:id="1"/>
    </w:p>
    <w:p w14:paraId="5C99E7F3">
      <w:pPr>
        <w:keepNext w:val="0"/>
        <w:keepLines w:val="0"/>
        <w:pageBreakBefore w:val="0"/>
        <w:widowControl w:val="0"/>
        <w:kinsoku w:val="0"/>
        <w:wordWrap/>
        <w:overflowPunct/>
        <w:topLinePunct w:val="0"/>
        <w:autoSpaceDE w:val="0"/>
        <w:autoSpaceDN w:val="0"/>
        <w:bidi w:val="0"/>
        <w:adjustRightInd w:val="0"/>
        <w:snapToGrid w:val="0"/>
        <w:spacing w:after="625"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ZHRC</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2161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7F44E0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527A687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2025.06.11</w:t>
            </w:r>
          </w:p>
        </w:tc>
      </w:tr>
      <w:tr w14:paraId="5E046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740D4D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fitText w:val="840" w:id="1984234543"/>
                <w:vertAlign w:val="baseline"/>
                <w:lang w:val="en-US" w:eastAsia="zh-CN"/>
              </w:rPr>
              <w:t>版</w:t>
            </w:r>
            <w:r>
              <w:rPr>
                <w:rFonts w:hint="eastAsia"/>
                <w:spacing w:val="0"/>
                <w:kern w:val="0"/>
                <w:fitText w:val="840" w:id="1984234543"/>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fitText w:val="630" w:id="1331981115"/>
                <w:vertAlign w:val="baseline"/>
                <w:lang w:val="en-US" w:eastAsia="zh-CN"/>
              </w:rPr>
              <w:t>V1.</w:t>
            </w:r>
            <w:r>
              <w:rPr>
                <w:rFonts w:hint="eastAsia"/>
                <w:spacing w:val="0"/>
                <w:kern w:val="0"/>
                <w:u w:val="single"/>
                <w:fitText w:val="630" w:id="1331981115"/>
                <w:vertAlign w:val="baseline"/>
                <w:lang w:val="en-US" w:eastAsia="zh-CN"/>
              </w:rPr>
              <w:t>0</w:t>
            </w:r>
          </w:p>
        </w:tc>
        <w:tc>
          <w:tcPr>
            <w:tcW w:w="2708" w:type="dxa"/>
            <w:shd w:val="clear" w:color="auto" w:fill="auto"/>
          </w:tcPr>
          <w:p w14:paraId="36398C7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2025.06.11</w:t>
            </w:r>
          </w:p>
        </w:tc>
      </w:tr>
      <w:tr w14:paraId="4012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A92757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fitText w:val="840" w:id="722747876"/>
                <w:vertAlign w:val="baseline"/>
                <w:lang w:val="en-US" w:eastAsia="zh-CN"/>
              </w:rPr>
              <w:t>批准</w:t>
            </w:r>
            <w:r>
              <w:rPr>
                <w:rFonts w:hint="eastAsia"/>
                <w:spacing w:val="1"/>
                <w:kern w:val="0"/>
                <w:fitText w:val="840" w:id="722747876"/>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105"/>
                <w:kern w:val="0"/>
                <w:sz w:val="21"/>
                <w:u w:val="single"/>
                <w:fitText w:val="630" w:id="676873217"/>
                <w:vertAlign w:val="baseline"/>
                <w:lang w:val="en-US" w:eastAsia="zh-CN"/>
              </w:rPr>
              <w:t>任</w:t>
            </w:r>
            <w:r>
              <w:rPr>
                <w:rFonts w:hint="eastAsia" w:asciiTheme="minorAscii" w:hAnsiTheme="minorAscii" w:eastAsiaTheme="minorEastAsia"/>
                <w:spacing w:val="0"/>
                <w:kern w:val="0"/>
                <w:sz w:val="21"/>
                <w:u w:val="single"/>
                <w:fitText w:val="630" w:id="676873217"/>
                <w:vertAlign w:val="baseline"/>
                <w:lang w:val="en-US" w:eastAsia="zh-CN"/>
              </w:rPr>
              <w:t>鸿</w:t>
            </w:r>
          </w:p>
        </w:tc>
        <w:tc>
          <w:tcPr>
            <w:tcW w:w="2708" w:type="dxa"/>
          </w:tcPr>
          <w:p w14:paraId="370F750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2025.06.11</w:t>
            </w:r>
          </w:p>
        </w:tc>
      </w:tr>
    </w:tbl>
    <w:p w14:paraId="1DEAC454">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615357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544A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4FB3B2C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78067E3">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D1CA80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C6967C0">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31C0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EE12DA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11</w:t>
            </w:r>
          </w:p>
        </w:tc>
        <w:tc>
          <w:tcPr>
            <w:tcW w:w="919" w:type="dxa"/>
          </w:tcPr>
          <w:p w14:paraId="10AEB2A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292F32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3AD957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105"/>
                <w:kern w:val="0"/>
                <w:sz w:val="21"/>
                <w:fitText w:val="630" w:id="676873217"/>
                <w:vertAlign w:val="baseline"/>
                <w:lang w:val="en-US" w:eastAsia="zh-CN"/>
              </w:rPr>
              <w:t>任</w:t>
            </w:r>
            <w:r>
              <w:rPr>
                <w:rFonts w:hint="eastAsia" w:asciiTheme="minorAscii" w:hAnsiTheme="minorAscii" w:eastAsiaTheme="minorEastAsia"/>
                <w:spacing w:val="0"/>
                <w:kern w:val="0"/>
                <w:sz w:val="21"/>
                <w:fitText w:val="630" w:id="676873217"/>
                <w:vertAlign w:val="baseline"/>
                <w:lang w:val="en-US" w:eastAsia="zh-CN"/>
              </w:rPr>
              <w:t>鸿</w:t>
            </w:r>
          </w:p>
        </w:tc>
      </w:tr>
      <w:tr w14:paraId="6E209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5F4A4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146625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B88D5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F1492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5B85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A84474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8C703F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970AE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C73CE0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F7C35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750A30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7969F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4D59C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67762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8E27D40">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6A6F98F">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5B4111D2">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_Toc27699 </w:instrText>
          </w:r>
          <w:r>
            <w:rPr>
              <w:rFonts w:hint="eastAsia" w:ascii="宋体" w:hAnsi="宋体" w:eastAsia="宋体" w:cs="宋体"/>
              <w:szCs w:val="24"/>
            </w:rPr>
            <w:fldChar w:fldCharType="separate"/>
          </w:r>
          <w:r>
            <w:rPr>
              <w:rFonts w:hint="eastAsia"/>
              <w:lang w:val="en-US" w:eastAsia="zh-CN"/>
            </w:rPr>
            <w:t>阿克苏智汇人才服务有限</w:t>
          </w:r>
          <w:r>
            <w:t>公司</w:t>
          </w:r>
          <w:r>
            <w:tab/>
          </w:r>
          <w:r>
            <w:fldChar w:fldCharType="begin"/>
          </w:r>
          <w:r>
            <w:instrText xml:space="preserve"> PAGEREF _Toc27699 \h </w:instrText>
          </w:r>
          <w:r>
            <w:fldChar w:fldCharType="separate"/>
          </w:r>
          <w:r>
            <w:t>1</w:t>
          </w:r>
          <w:r>
            <w:fldChar w:fldCharType="end"/>
          </w:r>
          <w:r>
            <w:rPr>
              <w:rFonts w:hint="eastAsia" w:ascii="宋体" w:hAnsi="宋体" w:eastAsia="宋体" w:cs="宋体"/>
              <w:szCs w:val="24"/>
            </w:rPr>
            <w:fldChar w:fldCharType="end"/>
          </w:r>
        </w:p>
        <w:p w14:paraId="1353088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_Toc14240 </w:instrText>
          </w:r>
          <w:r>
            <w:rPr>
              <w:rFonts w:hint="eastAsia" w:ascii="宋体" w:hAnsi="宋体" w:eastAsia="宋体" w:cs="宋体"/>
              <w:szCs w:val="24"/>
            </w:rPr>
            <w:fldChar w:fldCharType="separate"/>
          </w:r>
          <w:r>
            <w:rPr>
              <w:rFonts w:hint="eastAsia"/>
              <w:lang w:val="en-US" w:eastAsia="zh-CN"/>
            </w:rPr>
            <w:t>电子签名设备采购项目过程框架设计会议纪要</w:t>
          </w:r>
          <w:r>
            <w:tab/>
          </w:r>
          <w:r>
            <w:fldChar w:fldCharType="begin"/>
          </w:r>
          <w:r>
            <w:instrText xml:space="preserve"> PAGEREF _Toc14240 \h </w:instrText>
          </w:r>
          <w:r>
            <w:fldChar w:fldCharType="separate"/>
          </w:r>
          <w:r>
            <w:t>1</w:t>
          </w:r>
          <w:r>
            <w:fldChar w:fldCharType="end"/>
          </w:r>
          <w:r>
            <w:rPr>
              <w:rFonts w:hint="eastAsia" w:ascii="宋体" w:hAnsi="宋体" w:eastAsia="宋体" w:cs="宋体"/>
              <w:szCs w:val="24"/>
            </w:rPr>
            <w:fldChar w:fldCharType="end"/>
          </w:r>
        </w:p>
        <w:p w14:paraId="1CED105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_Toc7325 </w:instrText>
          </w:r>
          <w:r>
            <w:rPr>
              <w:rFonts w:hint="eastAsia" w:ascii="宋体" w:hAnsi="宋体" w:eastAsia="宋体" w:cs="宋体"/>
              <w:szCs w:val="24"/>
            </w:rPr>
            <w:fldChar w:fldCharType="separate"/>
          </w:r>
          <w:r>
            <w:rPr>
              <w:rFonts w:hint="default"/>
              <w:lang w:val="en-US" w:eastAsia="zh-CN"/>
            </w:rPr>
            <w:t>1. 会议基本信息</w:t>
          </w:r>
          <w:r>
            <w:tab/>
          </w:r>
          <w:r>
            <w:fldChar w:fldCharType="begin"/>
          </w:r>
          <w:r>
            <w:instrText xml:space="preserve"> PAGEREF _Toc7325 \h </w:instrText>
          </w:r>
          <w:r>
            <w:fldChar w:fldCharType="separate"/>
          </w:r>
          <w:r>
            <w:t>4</w:t>
          </w:r>
          <w:r>
            <w:fldChar w:fldCharType="end"/>
          </w:r>
          <w:r>
            <w:rPr>
              <w:rFonts w:hint="eastAsia" w:ascii="宋体" w:hAnsi="宋体" w:eastAsia="宋体" w:cs="宋体"/>
              <w:szCs w:val="24"/>
            </w:rPr>
            <w:fldChar w:fldCharType="end"/>
          </w:r>
        </w:p>
        <w:p w14:paraId="0008148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_Toc7559 </w:instrText>
          </w:r>
          <w:r>
            <w:rPr>
              <w:rFonts w:hint="eastAsia" w:ascii="宋体" w:hAnsi="宋体" w:eastAsia="宋体" w:cs="宋体"/>
              <w:szCs w:val="24"/>
            </w:rPr>
            <w:fldChar w:fldCharType="separate"/>
          </w:r>
          <w:r>
            <w:rPr>
              <w:rFonts w:hint="default"/>
              <w:lang w:val="en-US" w:eastAsia="zh-CN"/>
            </w:rPr>
            <w:t>2. 会议议程与目的</w:t>
          </w:r>
          <w:r>
            <w:tab/>
          </w:r>
          <w:r>
            <w:fldChar w:fldCharType="begin"/>
          </w:r>
          <w:r>
            <w:instrText xml:space="preserve"> PAGEREF _Toc7559 \h </w:instrText>
          </w:r>
          <w:r>
            <w:fldChar w:fldCharType="separate"/>
          </w:r>
          <w:r>
            <w:t>4</w:t>
          </w:r>
          <w:r>
            <w:fldChar w:fldCharType="end"/>
          </w:r>
          <w:r>
            <w:rPr>
              <w:rFonts w:hint="eastAsia" w:ascii="宋体" w:hAnsi="宋体" w:eastAsia="宋体" w:cs="宋体"/>
              <w:szCs w:val="24"/>
            </w:rPr>
            <w:fldChar w:fldCharType="end"/>
          </w:r>
        </w:p>
        <w:p w14:paraId="611A740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_Toc14874 </w:instrText>
          </w:r>
          <w:r>
            <w:rPr>
              <w:rFonts w:hint="eastAsia" w:ascii="宋体" w:hAnsi="宋体" w:eastAsia="宋体" w:cs="宋体"/>
              <w:szCs w:val="24"/>
            </w:rPr>
            <w:fldChar w:fldCharType="separate"/>
          </w:r>
          <w:r>
            <w:rPr>
              <w:rFonts w:hint="default"/>
              <w:lang w:val="en-US" w:eastAsia="zh-CN"/>
            </w:rPr>
            <w:t>3. 主要内容与决议</w:t>
          </w:r>
          <w:r>
            <w:tab/>
          </w:r>
          <w:r>
            <w:fldChar w:fldCharType="begin"/>
          </w:r>
          <w:r>
            <w:instrText xml:space="preserve"> PAGEREF _Toc14874 \h </w:instrText>
          </w:r>
          <w:r>
            <w:fldChar w:fldCharType="separate"/>
          </w:r>
          <w:r>
            <w:t>4</w:t>
          </w:r>
          <w:r>
            <w:fldChar w:fldCharType="end"/>
          </w:r>
          <w:r>
            <w:rPr>
              <w:rFonts w:hint="eastAsia" w:ascii="宋体" w:hAnsi="宋体" w:eastAsia="宋体" w:cs="宋体"/>
              <w:szCs w:val="24"/>
            </w:rPr>
            <w:fldChar w:fldCharType="end"/>
          </w:r>
        </w:p>
        <w:p w14:paraId="292FDA6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_Toc14745 </w:instrText>
          </w:r>
          <w:r>
            <w:rPr>
              <w:rFonts w:hint="eastAsia" w:ascii="宋体" w:hAnsi="宋体" w:eastAsia="宋体" w:cs="宋体"/>
              <w:szCs w:val="24"/>
            </w:rPr>
            <w:fldChar w:fldCharType="separate"/>
          </w:r>
          <w:r>
            <w:rPr>
              <w:rFonts w:hint="default"/>
              <w:lang w:val="en-US" w:eastAsia="zh-CN"/>
            </w:rPr>
            <w:t>3.1. 核心管控过程识别</w:t>
          </w:r>
          <w:r>
            <w:tab/>
          </w:r>
          <w:r>
            <w:fldChar w:fldCharType="begin"/>
          </w:r>
          <w:r>
            <w:instrText xml:space="preserve"> PAGEREF _Toc14745 \h </w:instrText>
          </w:r>
          <w:r>
            <w:fldChar w:fldCharType="separate"/>
          </w:r>
          <w:r>
            <w:t>4</w:t>
          </w:r>
          <w:r>
            <w:fldChar w:fldCharType="end"/>
          </w:r>
          <w:r>
            <w:rPr>
              <w:rFonts w:hint="eastAsia" w:ascii="宋体" w:hAnsi="宋体" w:eastAsia="宋体" w:cs="宋体"/>
              <w:szCs w:val="24"/>
            </w:rPr>
            <w:fldChar w:fldCharType="end"/>
          </w:r>
        </w:p>
        <w:p w14:paraId="6E52192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_Toc25065 </w:instrText>
          </w:r>
          <w:r>
            <w:rPr>
              <w:rFonts w:hint="eastAsia" w:ascii="宋体" w:hAnsi="宋体" w:eastAsia="宋体" w:cs="宋体"/>
              <w:szCs w:val="24"/>
            </w:rPr>
            <w:fldChar w:fldCharType="separate"/>
          </w:r>
          <w:r>
            <w:rPr>
              <w:rFonts w:hint="default"/>
              <w:lang w:val="en-US" w:eastAsia="zh-CN"/>
            </w:rPr>
            <w:t>3.2. 关键流程设计与接口定义</w:t>
          </w:r>
          <w:r>
            <w:tab/>
          </w:r>
          <w:r>
            <w:fldChar w:fldCharType="begin"/>
          </w:r>
          <w:r>
            <w:instrText xml:space="preserve"> PAGEREF _Toc25065 \h </w:instrText>
          </w:r>
          <w:r>
            <w:fldChar w:fldCharType="separate"/>
          </w:r>
          <w:r>
            <w:t>5</w:t>
          </w:r>
          <w:r>
            <w:fldChar w:fldCharType="end"/>
          </w:r>
          <w:r>
            <w:rPr>
              <w:rFonts w:hint="eastAsia" w:ascii="宋体" w:hAnsi="宋体" w:eastAsia="宋体" w:cs="宋体"/>
              <w:szCs w:val="24"/>
            </w:rPr>
            <w:fldChar w:fldCharType="end"/>
          </w:r>
        </w:p>
        <w:p w14:paraId="101F3B4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_Toc16711 </w:instrText>
          </w:r>
          <w:r>
            <w:rPr>
              <w:rFonts w:hint="eastAsia" w:ascii="宋体" w:hAnsi="宋体" w:eastAsia="宋体" w:cs="宋体"/>
              <w:szCs w:val="24"/>
            </w:rPr>
            <w:fldChar w:fldCharType="separate"/>
          </w:r>
          <w:r>
            <w:rPr>
              <w:rFonts w:hint="default"/>
              <w:lang w:val="en-US" w:eastAsia="zh-CN"/>
            </w:rPr>
            <w:t>3.3. 验收流程</w:t>
          </w:r>
          <w:r>
            <w:tab/>
          </w:r>
          <w:r>
            <w:fldChar w:fldCharType="begin"/>
          </w:r>
          <w:r>
            <w:instrText xml:space="preserve"> PAGEREF _Toc16711 \h </w:instrText>
          </w:r>
          <w:r>
            <w:fldChar w:fldCharType="separate"/>
          </w:r>
          <w:r>
            <w:t>5</w:t>
          </w:r>
          <w:r>
            <w:fldChar w:fldCharType="end"/>
          </w:r>
          <w:r>
            <w:rPr>
              <w:rFonts w:hint="eastAsia" w:ascii="宋体" w:hAnsi="宋体" w:eastAsia="宋体" w:cs="宋体"/>
              <w:szCs w:val="24"/>
            </w:rPr>
            <w:fldChar w:fldCharType="end"/>
          </w:r>
        </w:p>
        <w:p w14:paraId="4926C42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_Toc29747 </w:instrText>
          </w:r>
          <w:r>
            <w:rPr>
              <w:rFonts w:hint="eastAsia" w:ascii="宋体" w:hAnsi="宋体" w:eastAsia="宋体" w:cs="宋体"/>
              <w:szCs w:val="24"/>
            </w:rPr>
            <w:fldChar w:fldCharType="separate"/>
          </w:r>
          <w:r>
            <w:rPr>
              <w:rFonts w:hint="default"/>
              <w:lang w:val="en-US" w:eastAsia="zh-CN"/>
            </w:rPr>
            <w:t>3.4. 付款流程</w:t>
          </w:r>
          <w:r>
            <w:tab/>
          </w:r>
          <w:r>
            <w:fldChar w:fldCharType="begin"/>
          </w:r>
          <w:r>
            <w:instrText xml:space="preserve"> PAGEREF _Toc29747 \h </w:instrText>
          </w:r>
          <w:r>
            <w:fldChar w:fldCharType="separate"/>
          </w:r>
          <w:r>
            <w:t>5</w:t>
          </w:r>
          <w:r>
            <w:fldChar w:fldCharType="end"/>
          </w:r>
          <w:r>
            <w:rPr>
              <w:rFonts w:hint="eastAsia" w:ascii="宋体" w:hAnsi="宋体" w:eastAsia="宋体" w:cs="宋体"/>
              <w:szCs w:val="24"/>
            </w:rPr>
            <w:fldChar w:fldCharType="end"/>
          </w:r>
        </w:p>
        <w:p w14:paraId="70C9922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_Toc6793 </w:instrText>
          </w:r>
          <w:r>
            <w:rPr>
              <w:rFonts w:hint="eastAsia" w:ascii="宋体" w:hAnsi="宋体" w:eastAsia="宋体" w:cs="宋体"/>
              <w:szCs w:val="24"/>
            </w:rPr>
            <w:fldChar w:fldCharType="separate"/>
          </w:r>
          <w:r>
            <w:rPr>
              <w:rFonts w:hint="default"/>
              <w:lang w:val="en-US" w:eastAsia="zh-CN"/>
            </w:rPr>
            <w:t>3.5. 运维服务流程</w:t>
          </w:r>
          <w:r>
            <w:tab/>
          </w:r>
          <w:r>
            <w:fldChar w:fldCharType="begin"/>
          </w:r>
          <w:r>
            <w:instrText xml:space="preserve"> PAGEREF _Toc6793 \h </w:instrText>
          </w:r>
          <w:r>
            <w:fldChar w:fldCharType="separate"/>
          </w:r>
          <w:r>
            <w:t>5</w:t>
          </w:r>
          <w:r>
            <w:fldChar w:fldCharType="end"/>
          </w:r>
          <w:r>
            <w:rPr>
              <w:rFonts w:hint="eastAsia" w:ascii="宋体" w:hAnsi="宋体" w:eastAsia="宋体" w:cs="宋体"/>
              <w:szCs w:val="24"/>
            </w:rPr>
            <w:fldChar w:fldCharType="end"/>
          </w:r>
        </w:p>
        <w:p w14:paraId="7BA4803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_Toc5028 </w:instrText>
          </w:r>
          <w:r>
            <w:rPr>
              <w:rFonts w:hint="eastAsia" w:ascii="宋体" w:hAnsi="宋体" w:eastAsia="宋体" w:cs="宋体"/>
              <w:szCs w:val="24"/>
            </w:rPr>
            <w:fldChar w:fldCharType="separate"/>
          </w:r>
          <w:r>
            <w:rPr>
              <w:rFonts w:hint="default"/>
              <w:lang w:val="en-US" w:eastAsia="zh-CN"/>
            </w:rPr>
            <w:t>3.6. 知识资产管理流程</w:t>
          </w:r>
          <w:r>
            <w:tab/>
          </w:r>
          <w:r>
            <w:fldChar w:fldCharType="begin"/>
          </w:r>
          <w:r>
            <w:instrText xml:space="preserve"> PAGEREF _Toc5028 \h </w:instrText>
          </w:r>
          <w:r>
            <w:fldChar w:fldCharType="separate"/>
          </w:r>
          <w:r>
            <w:t>5</w:t>
          </w:r>
          <w:r>
            <w:fldChar w:fldCharType="end"/>
          </w:r>
          <w:r>
            <w:rPr>
              <w:rFonts w:hint="eastAsia" w:ascii="宋体" w:hAnsi="宋体" w:eastAsia="宋体" w:cs="宋体"/>
              <w:szCs w:val="24"/>
            </w:rPr>
            <w:fldChar w:fldCharType="end"/>
          </w:r>
        </w:p>
        <w:p w14:paraId="4B133A9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_Toc10156 </w:instrText>
          </w:r>
          <w:r>
            <w:rPr>
              <w:rFonts w:hint="eastAsia" w:ascii="宋体" w:hAnsi="宋体" w:eastAsia="宋体" w:cs="宋体"/>
              <w:szCs w:val="24"/>
            </w:rPr>
            <w:fldChar w:fldCharType="separate"/>
          </w:r>
          <w:r>
            <w:rPr>
              <w:rFonts w:hint="default"/>
              <w:lang w:val="en-US" w:eastAsia="zh-CN"/>
            </w:rPr>
            <w:t>3.7. 角色与职责明确</w:t>
          </w:r>
          <w:r>
            <w:tab/>
          </w:r>
          <w:r>
            <w:fldChar w:fldCharType="begin"/>
          </w:r>
          <w:r>
            <w:instrText xml:space="preserve"> PAGEREF _Toc10156 \h </w:instrText>
          </w:r>
          <w:r>
            <w:fldChar w:fldCharType="separate"/>
          </w:r>
          <w:r>
            <w:t>5</w:t>
          </w:r>
          <w:r>
            <w:fldChar w:fldCharType="end"/>
          </w:r>
          <w:r>
            <w:rPr>
              <w:rFonts w:hint="eastAsia" w:ascii="宋体" w:hAnsi="宋体" w:eastAsia="宋体" w:cs="宋体"/>
              <w:szCs w:val="24"/>
            </w:rPr>
            <w:fldChar w:fldCharType="end"/>
          </w:r>
        </w:p>
        <w:p w14:paraId="778F893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_Toc25209 </w:instrText>
          </w:r>
          <w:r>
            <w:rPr>
              <w:rFonts w:hint="eastAsia" w:ascii="宋体" w:hAnsi="宋体" w:eastAsia="宋体" w:cs="宋体"/>
              <w:szCs w:val="24"/>
            </w:rPr>
            <w:fldChar w:fldCharType="separate"/>
          </w:r>
          <w:r>
            <w:rPr>
              <w:rFonts w:hint="default"/>
              <w:lang w:val="en-US" w:eastAsia="zh-CN"/>
            </w:rPr>
            <w:t>4. 会议决议</w:t>
          </w:r>
          <w:r>
            <w:tab/>
          </w:r>
          <w:r>
            <w:fldChar w:fldCharType="begin"/>
          </w:r>
          <w:r>
            <w:instrText xml:space="preserve"> PAGEREF _Toc25209 \h </w:instrText>
          </w:r>
          <w:r>
            <w:fldChar w:fldCharType="separate"/>
          </w:r>
          <w:r>
            <w:t>6</w:t>
          </w:r>
          <w:r>
            <w:fldChar w:fldCharType="end"/>
          </w:r>
          <w:r>
            <w:rPr>
              <w:rFonts w:hint="eastAsia" w:ascii="宋体" w:hAnsi="宋体" w:eastAsia="宋体" w:cs="宋体"/>
              <w:szCs w:val="24"/>
            </w:rPr>
            <w:fldChar w:fldCharType="end"/>
          </w:r>
        </w:p>
        <w:p w14:paraId="05460C6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72DD7F8">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BE2EBE7">
      <w:pPr>
        <w:pStyle w:val="28"/>
        <w:bidi w:val="0"/>
        <w:rPr>
          <w:rFonts w:hint="default"/>
          <w:lang w:val="en-US" w:eastAsia="zh-CN"/>
        </w:rPr>
      </w:pPr>
      <w:bookmarkStart w:id="2" w:name="_Toc7325"/>
      <w:r>
        <w:rPr>
          <w:rFonts w:hint="default"/>
          <w:lang w:val="en-US" w:eastAsia="zh-CN"/>
        </w:rPr>
        <w:t>会议基本信息</w:t>
      </w:r>
      <w:bookmarkEnd w:id="2"/>
    </w:p>
    <w:p w14:paraId="06CCCD2A">
      <w:pPr>
        <w:pStyle w:val="29"/>
        <w:rPr>
          <w:rFonts w:hint="default"/>
          <w:lang w:val="en-US" w:eastAsia="zh-CN"/>
        </w:rPr>
      </w:pPr>
      <w:r>
        <w:rPr>
          <w:rFonts w:hint="default"/>
          <w:lang w:val="en-US" w:eastAsia="zh-CN"/>
        </w:rPr>
        <w:t>会议主题：电子签名设备采购项目”实施与运维过程框架设计会</w:t>
      </w:r>
    </w:p>
    <w:p w14:paraId="72C9055D">
      <w:pPr>
        <w:pStyle w:val="29"/>
        <w:rPr>
          <w:rFonts w:hint="default"/>
          <w:lang w:val="en-US" w:eastAsia="zh-CN"/>
        </w:rPr>
      </w:pPr>
      <w:r>
        <w:rPr>
          <w:rFonts w:hint="default"/>
          <w:lang w:val="en-US" w:eastAsia="zh-CN"/>
        </w:rPr>
        <w:t>会议时间：202</w:t>
      </w:r>
      <w:r>
        <w:rPr>
          <w:rFonts w:hint="eastAsia"/>
          <w:lang w:val="en-US" w:eastAsia="zh-CN"/>
        </w:rPr>
        <w:t>5</w:t>
      </w:r>
      <w:r>
        <w:rPr>
          <w:rFonts w:hint="default"/>
          <w:lang w:val="en-US" w:eastAsia="zh-CN"/>
        </w:rPr>
        <w:t>年5月28日14:30 - 16:00</w:t>
      </w:r>
    </w:p>
    <w:p w14:paraId="2C9CED12">
      <w:pPr>
        <w:pStyle w:val="29"/>
        <w:rPr>
          <w:rFonts w:hint="default"/>
          <w:lang w:val="en-US" w:eastAsia="zh-CN"/>
        </w:rPr>
      </w:pPr>
      <w:r>
        <w:rPr>
          <w:rFonts w:hint="default"/>
          <w:lang w:val="en-US" w:eastAsia="zh-CN"/>
        </w:rPr>
        <w:t>会议地点：阿克苏云上数字集团有限责任公司项目组703会议室</w:t>
      </w:r>
    </w:p>
    <w:p w14:paraId="264EA6A1">
      <w:pPr>
        <w:pStyle w:val="29"/>
        <w:rPr>
          <w:rFonts w:hint="default"/>
          <w:lang w:val="en-US" w:eastAsia="zh-CN"/>
        </w:rPr>
      </w:pPr>
      <w:r>
        <w:rPr>
          <w:rFonts w:hint="default"/>
          <w:lang w:val="en-US" w:eastAsia="zh-CN"/>
        </w:rPr>
        <w:t>主持人：黄玥玥</w:t>
      </w:r>
    </w:p>
    <w:p w14:paraId="7DA97A90">
      <w:pPr>
        <w:pStyle w:val="29"/>
        <w:rPr>
          <w:rFonts w:hint="default"/>
          <w:lang w:val="en-US" w:eastAsia="zh-CN"/>
        </w:rPr>
      </w:pPr>
      <w:r>
        <w:rPr>
          <w:rFonts w:hint="default"/>
          <w:lang w:val="en-US" w:eastAsia="zh-CN"/>
        </w:rPr>
        <w:t>与会人员：</w:t>
      </w:r>
    </w:p>
    <w:p w14:paraId="6858310B">
      <w:pPr>
        <w:pStyle w:val="29"/>
        <w:rPr>
          <w:rFonts w:hint="default"/>
          <w:lang w:val="en-US" w:eastAsia="zh-CN"/>
        </w:rPr>
      </w:pPr>
      <w:r>
        <w:rPr>
          <w:rFonts w:hint="default"/>
          <w:lang w:val="en-US" w:eastAsia="zh-CN"/>
        </w:rPr>
        <w:t>甲方（阿克苏云上数字集团有限责任公司）</w:t>
      </w:r>
      <w:r>
        <w:rPr>
          <w:rFonts w:hint="eastAsia"/>
          <w:lang w:val="en-US" w:eastAsia="zh-CN"/>
        </w:rPr>
        <w:t>业务人员</w:t>
      </w:r>
    </w:p>
    <w:p w14:paraId="4CAC81BF">
      <w:pPr>
        <w:pStyle w:val="29"/>
        <w:rPr>
          <w:rFonts w:hint="default"/>
          <w:lang w:val="en-US" w:eastAsia="zh-CN"/>
        </w:rPr>
      </w:pPr>
      <w:r>
        <w:rPr>
          <w:rFonts w:hint="default"/>
          <w:lang w:val="en-US" w:eastAsia="zh-CN"/>
        </w:rPr>
        <w:t>乙方（阿克苏智汇人才服务有限公司）：黄玥玥、牛硕</w:t>
      </w:r>
      <w:r>
        <w:rPr>
          <w:rFonts w:hint="eastAsia"/>
          <w:lang w:val="en-US" w:eastAsia="zh-CN"/>
        </w:rPr>
        <w:t>、王孝依</w:t>
      </w:r>
    </w:p>
    <w:p w14:paraId="2FC72F41">
      <w:pPr>
        <w:pStyle w:val="29"/>
        <w:rPr>
          <w:rFonts w:hint="default"/>
          <w:lang w:val="en-US" w:eastAsia="zh-CN"/>
        </w:rPr>
      </w:pPr>
      <w:r>
        <w:rPr>
          <w:rFonts w:hint="default"/>
          <w:lang w:val="en-US" w:eastAsia="zh-CN"/>
        </w:rPr>
        <w:t>记录人：黄玥玥</w:t>
      </w:r>
    </w:p>
    <w:p w14:paraId="62C8B9EE">
      <w:pPr>
        <w:pStyle w:val="28"/>
        <w:bidi w:val="0"/>
        <w:rPr>
          <w:rFonts w:hint="default"/>
          <w:lang w:val="en-US" w:eastAsia="zh-CN"/>
        </w:rPr>
      </w:pPr>
      <w:bookmarkStart w:id="3" w:name="_Toc7559"/>
      <w:r>
        <w:rPr>
          <w:rFonts w:hint="default"/>
          <w:lang w:val="en-US" w:eastAsia="zh-CN"/>
        </w:rPr>
        <w:t>会议议程与目的</w:t>
      </w:r>
      <w:bookmarkEnd w:id="3"/>
    </w:p>
    <w:p w14:paraId="6EDE6BCC">
      <w:pPr>
        <w:pStyle w:val="29"/>
        <w:rPr>
          <w:rFonts w:hint="default"/>
          <w:lang w:val="en-US" w:eastAsia="zh-CN"/>
        </w:rPr>
      </w:pPr>
      <w:r>
        <w:rPr>
          <w:rFonts w:hint="default"/>
          <w:lang w:val="en-US" w:eastAsia="zh-CN"/>
        </w:rPr>
        <w:t>本次会议旨在为“电子签名设备采购项目”建立清晰的过程管理框架，明确项目实施、验收及未来五年运维服务期间的关键流程、双方职责与协作接口，确保项目交付物清晰、过程可控、协作顺畅。</w:t>
      </w:r>
    </w:p>
    <w:p w14:paraId="522F6787">
      <w:pPr>
        <w:pStyle w:val="28"/>
        <w:bidi w:val="0"/>
        <w:rPr>
          <w:rFonts w:hint="default"/>
          <w:lang w:val="en-US" w:eastAsia="zh-CN"/>
        </w:rPr>
      </w:pPr>
      <w:bookmarkStart w:id="4" w:name="_Toc14874"/>
      <w:r>
        <w:rPr>
          <w:rFonts w:hint="default"/>
          <w:lang w:val="en-US" w:eastAsia="zh-CN"/>
        </w:rPr>
        <w:t>主要内容与决议</w:t>
      </w:r>
      <w:bookmarkEnd w:id="4"/>
    </w:p>
    <w:p w14:paraId="4DDDC210">
      <w:pPr>
        <w:pStyle w:val="29"/>
        <w:rPr>
          <w:rFonts w:hint="default"/>
          <w:lang w:val="en-US" w:eastAsia="zh-CN"/>
        </w:rPr>
      </w:pPr>
      <w:r>
        <w:rPr>
          <w:rFonts w:hint="default"/>
          <w:lang w:val="en-US" w:eastAsia="zh-CN"/>
        </w:rPr>
        <w:t>经双方与会代表充分讨论，就本项目的过程管理框架达成以下共识并形成决议：</w:t>
      </w:r>
    </w:p>
    <w:p w14:paraId="43244277">
      <w:pPr>
        <w:pStyle w:val="30"/>
        <w:bidi w:val="0"/>
        <w:rPr>
          <w:rFonts w:hint="default"/>
          <w:lang w:val="en-US" w:eastAsia="zh-CN"/>
        </w:rPr>
      </w:pPr>
      <w:bookmarkStart w:id="5" w:name="_Toc14745"/>
      <w:r>
        <w:rPr>
          <w:rFonts w:hint="default"/>
          <w:lang w:val="en-US" w:eastAsia="zh-CN"/>
        </w:rPr>
        <w:t>核心管控过程识别</w:t>
      </w:r>
      <w:bookmarkEnd w:id="5"/>
    </w:p>
    <w:p w14:paraId="7A0356E0">
      <w:pPr>
        <w:pStyle w:val="29"/>
        <w:rPr>
          <w:rFonts w:hint="default"/>
          <w:lang w:val="en-US" w:eastAsia="zh-CN"/>
        </w:rPr>
      </w:pPr>
      <w:r>
        <w:rPr>
          <w:rFonts w:hint="default"/>
          <w:lang w:val="en-US" w:eastAsia="zh-CN"/>
        </w:rPr>
        <w:t>会议一致确认，本项目生命周期内需重点管控以下核心过程：项目交付与部署、变更控制、分阶段验收（到货、试运行、最终）、知识转移与培训、运维服务响应（事件/问题管理）、合同付款审核。</w:t>
      </w:r>
    </w:p>
    <w:p w14:paraId="5614E64E">
      <w:pPr>
        <w:pStyle w:val="30"/>
        <w:bidi w:val="0"/>
        <w:rPr>
          <w:rFonts w:hint="default"/>
          <w:lang w:val="en-US" w:eastAsia="zh-CN"/>
        </w:rPr>
      </w:pPr>
      <w:bookmarkStart w:id="6" w:name="_Toc25065"/>
      <w:r>
        <w:rPr>
          <w:rFonts w:hint="default"/>
          <w:lang w:val="en-US" w:eastAsia="zh-CN"/>
        </w:rPr>
        <w:t>关键流程设计与接口定义</w:t>
      </w:r>
      <w:bookmarkEnd w:id="6"/>
    </w:p>
    <w:p w14:paraId="6ABC267E">
      <w:pPr>
        <w:pStyle w:val="30"/>
        <w:bidi w:val="0"/>
        <w:rPr>
          <w:rFonts w:hint="default"/>
          <w:lang w:val="en-US" w:eastAsia="zh-CN"/>
        </w:rPr>
      </w:pPr>
      <w:bookmarkStart w:id="7" w:name="_Toc16711"/>
      <w:r>
        <w:rPr>
          <w:rFonts w:hint="default"/>
          <w:lang w:val="en-US" w:eastAsia="zh-CN"/>
        </w:rPr>
        <w:t>验收流程</w:t>
      </w:r>
      <w:bookmarkEnd w:id="7"/>
    </w:p>
    <w:p w14:paraId="4C6300FE">
      <w:pPr>
        <w:pStyle w:val="29"/>
        <w:rPr>
          <w:rFonts w:hint="default"/>
          <w:lang w:val="en-US" w:eastAsia="zh-CN"/>
        </w:rPr>
      </w:pPr>
      <w:r>
        <w:rPr>
          <w:rFonts w:hint="default"/>
          <w:lang w:val="en-US" w:eastAsia="zh-CN"/>
        </w:rPr>
        <w:t>明确划分为“到货验收”、“30日试运行”、“最终验收”三个阶段。最终验收报告的签署是项目尾款支付申请及五年质保期起算的唯一前提。试运行期间发现的所有问题，由乙方负责解决且该阶段不计入质保期。</w:t>
      </w:r>
    </w:p>
    <w:p w14:paraId="560D11C9">
      <w:pPr>
        <w:pStyle w:val="30"/>
        <w:bidi w:val="0"/>
        <w:rPr>
          <w:rFonts w:hint="default"/>
          <w:lang w:val="en-US" w:eastAsia="zh-CN"/>
        </w:rPr>
      </w:pPr>
      <w:bookmarkStart w:id="8" w:name="_Toc29747"/>
      <w:r>
        <w:rPr>
          <w:rFonts w:hint="default"/>
          <w:lang w:val="en-US" w:eastAsia="zh-CN"/>
        </w:rPr>
        <w:t>付款流程</w:t>
      </w:r>
      <w:bookmarkEnd w:id="8"/>
    </w:p>
    <w:p w14:paraId="2673278B">
      <w:pPr>
        <w:pStyle w:val="29"/>
        <w:rPr>
          <w:rFonts w:hint="default"/>
          <w:lang w:val="en-US" w:eastAsia="zh-CN"/>
        </w:rPr>
      </w:pPr>
      <w:r>
        <w:rPr>
          <w:rFonts w:hint="default"/>
          <w:lang w:val="en-US" w:eastAsia="zh-CN"/>
        </w:rPr>
        <w:t>严格执行合同约定的里程碑付款节点（30%-30%-30%-10%）。每一笔支付申请必须由乙方项目经理发起，并附带经甲方项目经理书面确认的里程碑完成证明（如到货签收单、试运行通过报告、最终验收报告、符合要求的质保函）。</w:t>
      </w:r>
    </w:p>
    <w:p w14:paraId="2F658E5B">
      <w:pPr>
        <w:pStyle w:val="29"/>
        <w:rPr>
          <w:rFonts w:hint="default"/>
          <w:lang w:val="en-US" w:eastAsia="zh-CN"/>
        </w:rPr>
      </w:pPr>
      <w:r>
        <w:rPr>
          <w:rFonts w:hint="default"/>
          <w:lang w:val="en-US" w:eastAsia="zh-CN"/>
        </w:rPr>
        <w:t>变更管理流程： 任何超出合同附件清单范围的交付内容或功能需求调整，必须由甲方项目组书面提出并经双方协商一致，签署《项目变更确认单》后，乙方方可实施。严禁任何形式的口头变更。</w:t>
      </w:r>
    </w:p>
    <w:p w14:paraId="35CB7D4A">
      <w:pPr>
        <w:pStyle w:val="30"/>
        <w:bidi w:val="0"/>
        <w:rPr>
          <w:rFonts w:hint="default"/>
          <w:lang w:val="en-US" w:eastAsia="zh-CN"/>
        </w:rPr>
      </w:pPr>
      <w:bookmarkStart w:id="9" w:name="_Toc6793"/>
      <w:r>
        <w:rPr>
          <w:rFonts w:hint="default"/>
          <w:lang w:val="en-US" w:eastAsia="zh-CN"/>
        </w:rPr>
        <w:t>运维服务流程</w:t>
      </w:r>
      <w:bookmarkEnd w:id="9"/>
    </w:p>
    <w:p w14:paraId="19665850">
      <w:pPr>
        <w:pStyle w:val="29"/>
        <w:rPr>
          <w:rFonts w:hint="default"/>
          <w:lang w:val="en-US" w:eastAsia="zh-CN"/>
        </w:rPr>
      </w:pPr>
      <w:r>
        <w:rPr>
          <w:rFonts w:hint="default"/>
          <w:lang w:val="en-US" w:eastAsia="zh-CN"/>
        </w:rPr>
        <w:t>项目上线后，乙方的运维服务需严格遵守合同SLA（如：10分钟内响应，2小时内解决）。双方将使用统一的《运维服务单》模板来记录和跟踪所有服务请求，确保过程闭环、全程可追溯。</w:t>
      </w:r>
    </w:p>
    <w:p w14:paraId="5B34D3BD">
      <w:pPr>
        <w:pStyle w:val="30"/>
        <w:bidi w:val="0"/>
        <w:rPr>
          <w:rFonts w:hint="default"/>
          <w:lang w:val="en-US" w:eastAsia="zh-CN"/>
        </w:rPr>
      </w:pPr>
      <w:bookmarkStart w:id="10" w:name="_Toc5028"/>
      <w:r>
        <w:rPr>
          <w:rFonts w:hint="default"/>
          <w:lang w:val="en-US" w:eastAsia="zh-CN"/>
        </w:rPr>
        <w:t>知识资产管理流程</w:t>
      </w:r>
      <w:bookmarkEnd w:id="10"/>
    </w:p>
    <w:p w14:paraId="176FADFB">
      <w:pPr>
        <w:pStyle w:val="29"/>
        <w:rPr>
          <w:rFonts w:hint="default"/>
          <w:lang w:val="en-US" w:eastAsia="zh-CN"/>
        </w:rPr>
      </w:pPr>
      <w:r>
        <w:rPr>
          <w:rFonts w:hint="default"/>
          <w:lang w:val="en-US" w:eastAsia="zh-CN"/>
        </w:rPr>
        <w:t>乙方在项目各阶段交付的技术文档、操作手册、培训教材等，均需提交至甲方项目经理统一归档。对于合同约定的知识产权交付物，乙方需在最终验收前提供最终版交付物清单。</w:t>
      </w:r>
    </w:p>
    <w:p w14:paraId="0C4C0F75">
      <w:pPr>
        <w:pStyle w:val="30"/>
        <w:bidi w:val="0"/>
        <w:rPr>
          <w:rFonts w:hint="default"/>
          <w:lang w:val="en-US" w:eastAsia="zh-CN"/>
        </w:rPr>
      </w:pPr>
      <w:bookmarkStart w:id="11" w:name="_Toc10156"/>
      <w:r>
        <w:rPr>
          <w:rFonts w:hint="default"/>
          <w:lang w:val="en-US" w:eastAsia="zh-CN"/>
        </w:rPr>
        <w:t>角色与职责明确</w:t>
      </w:r>
      <w:bookmarkEnd w:id="11"/>
    </w:p>
    <w:p w14:paraId="11E45DDC">
      <w:pPr>
        <w:pStyle w:val="29"/>
        <w:rPr>
          <w:rFonts w:hint="default"/>
          <w:lang w:val="en-US" w:eastAsia="zh-CN"/>
        </w:rPr>
      </w:pPr>
      <w:r>
        <w:rPr>
          <w:rFonts w:hint="default"/>
          <w:lang w:val="en-US" w:eastAsia="zh-CN"/>
        </w:rPr>
        <w:t>甲方项目经理：为甲方唯一对接接口人，负责整体协调、确认所有项目里程碑、审核付款申请、批准变更请求。</w:t>
      </w:r>
    </w:p>
    <w:p w14:paraId="318DB881">
      <w:pPr>
        <w:pStyle w:val="29"/>
        <w:rPr>
          <w:rFonts w:hint="default"/>
          <w:lang w:val="en-US" w:eastAsia="zh-CN"/>
        </w:rPr>
      </w:pPr>
      <w:r>
        <w:rPr>
          <w:rFonts w:hint="default"/>
          <w:lang w:val="en-US" w:eastAsia="zh-CN"/>
        </w:rPr>
        <w:t>甲方质量/运维代表：负责参与技术验收、评估试运行效果、接收并确认运维服务。</w:t>
      </w:r>
    </w:p>
    <w:p w14:paraId="25C43E58">
      <w:pPr>
        <w:pStyle w:val="29"/>
        <w:rPr>
          <w:rFonts w:hint="default"/>
          <w:lang w:val="en-US" w:eastAsia="zh-CN"/>
        </w:rPr>
      </w:pPr>
      <w:r>
        <w:rPr>
          <w:rFonts w:hint="default"/>
          <w:lang w:val="en-US" w:eastAsia="zh-CN"/>
        </w:rPr>
        <w:t>乙方项目经理：对项目交付成果负总责，负责提交交付物、发起变更与付款申请、定期汇报项目进度。</w:t>
      </w:r>
    </w:p>
    <w:p w14:paraId="248A9ACA">
      <w:pPr>
        <w:pStyle w:val="28"/>
        <w:bidi w:val="0"/>
        <w:rPr>
          <w:rFonts w:hint="default"/>
          <w:lang w:val="en-US" w:eastAsia="zh-CN"/>
        </w:rPr>
      </w:pPr>
      <w:bookmarkStart w:id="12" w:name="_Toc25209"/>
      <w:r>
        <w:rPr>
          <w:rFonts w:hint="default"/>
          <w:lang w:val="en-US" w:eastAsia="zh-CN"/>
        </w:rPr>
        <w:t>会议决议</w:t>
      </w:r>
      <w:bookmarkEnd w:id="12"/>
    </w:p>
    <w:p w14:paraId="161F146D">
      <w:pPr>
        <w:pStyle w:val="29"/>
        <w:rPr>
          <w:rFonts w:hint="default"/>
          <w:lang w:val="en-US" w:eastAsia="zh-CN"/>
        </w:rPr>
      </w:pPr>
      <w:r>
        <w:rPr>
          <w:rFonts w:hint="default"/>
          <w:lang w:val="en-US" w:eastAsia="zh-CN"/>
        </w:rPr>
        <w:t>本次会议审议通过的过程框架，将作为本项目管理的基准，双方项目团队成员须共同遵守。</w:t>
      </w:r>
    </w:p>
    <w:p w14:paraId="6D1075EC">
      <w:pPr>
        <w:pStyle w:val="29"/>
        <w:rPr>
          <w:rFonts w:hint="default"/>
          <w:lang w:val="en-US" w:eastAsia="zh-CN"/>
        </w:rPr>
      </w:pPr>
      <w:r>
        <w:rPr>
          <w:rFonts w:hint="default"/>
          <w:lang w:val="en-US" w:eastAsia="zh-CN"/>
        </w:rPr>
        <w:t>乙方项目组须在 202</w:t>
      </w:r>
      <w:r>
        <w:rPr>
          <w:rFonts w:hint="eastAsia"/>
          <w:lang w:val="en-US" w:eastAsia="zh-CN"/>
        </w:rPr>
        <w:t>5</w:t>
      </w:r>
      <w:r>
        <w:rPr>
          <w:rFonts w:hint="default"/>
          <w:lang w:val="en-US" w:eastAsia="zh-CN"/>
        </w:rPr>
        <w:t>年6月</w:t>
      </w:r>
      <w:r>
        <w:rPr>
          <w:rFonts w:hint="eastAsia"/>
          <w:lang w:val="en-US" w:eastAsia="zh-CN"/>
        </w:rPr>
        <w:t>20</w:t>
      </w:r>
      <w:bookmarkStart w:id="13" w:name="_GoBack"/>
      <w:bookmarkEnd w:id="13"/>
      <w:r>
        <w:rPr>
          <w:rFonts w:hint="default"/>
          <w:lang w:val="en-US" w:eastAsia="zh-CN"/>
        </w:rPr>
        <w:t>日前 （5个工作日内），根据本会议共识，向甲方提交详细的《项目验收方案》 与 《运维服务响应计划》 草案，供甲方审核。</w:t>
      </w:r>
    </w:p>
    <w:p w14:paraId="2E6D4D95">
      <w:pPr>
        <w:pStyle w:val="29"/>
        <w:rPr>
          <w:rFonts w:hint="default"/>
          <w:lang w:val="en-US" w:eastAsia="zh-CN"/>
        </w:rPr>
      </w:pPr>
      <w:r>
        <w:rPr>
          <w:rFonts w:hint="default"/>
          <w:lang w:val="en-US" w:eastAsia="zh-CN"/>
        </w:rPr>
        <w:t>双方在项目期间所有重要沟通、决策与确认，均需通过正式邮件或书面文件留存，以确保信息一致、有据可查。</w:t>
      </w:r>
    </w:p>
    <w:p w14:paraId="44CFC73F">
      <w:pPr>
        <w:pStyle w:val="29"/>
        <w:rPr>
          <w:rFonts w:hint="default"/>
          <w:lang w:val="en-US" w:eastAsia="zh-CN"/>
        </w:rPr>
      </w:pPr>
      <w:r>
        <w:rPr>
          <w:rFonts w:hint="default"/>
          <w:lang w:val="en-US" w:eastAsia="zh-CN"/>
        </w:rPr>
        <w:t>五、下一步行动</w:t>
      </w:r>
    </w:p>
    <w:p w14:paraId="7023B89F">
      <w:pPr>
        <w:pStyle w:val="29"/>
        <w:rPr>
          <w:rFonts w:hint="default"/>
          <w:lang w:val="en-US" w:eastAsia="zh-CN"/>
        </w:rPr>
      </w:pPr>
      <w:r>
        <w:rPr>
          <w:rFonts w:hint="default"/>
          <w:lang w:val="en-US" w:eastAsia="zh-CN"/>
        </w:rPr>
        <w:t>双方项目经理负责将本会议纪要及确定的过程框架传达给各自项目团队全体成员。</w:t>
      </w:r>
    </w:p>
    <w:p w14:paraId="05F117FD">
      <w:pPr>
        <w:pStyle w:val="29"/>
        <w:rPr>
          <w:rFonts w:hint="default"/>
          <w:lang w:val="en-US" w:eastAsia="zh-CN"/>
        </w:rPr>
      </w:pPr>
      <w:r>
        <w:rPr>
          <w:rFonts w:hint="default"/>
          <w:lang w:val="en-US" w:eastAsia="zh-CN"/>
        </w:rPr>
        <w:t>按决议要求跟进相关文档的提交与审核，为下一次项目进度会议做准备。</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19F5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drawing>
        <wp:anchor distT="0" distB="0" distL="114300" distR="114300" simplePos="0" relativeHeight="251660288" behindDoc="0" locked="0" layoutInCell="1" allowOverlap="1">
          <wp:simplePos x="0" y="0"/>
          <wp:positionH relativeFrom="column">
            <wp:posOffset>67310</wp:posOffset>
          </wp:positionH>
          <wp:positionV relativeFrom="paragraph">
            <wp:posOffset>-345440</wp:posOffset>
          </wp:positionV>
          <wp:extent cx="718820" cy="461010"/>
          <wp:effectExtent l="0" t="0" r="12700" b="11430"/>
          <wp:wrapNone/>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1"/>
                  <a:stretch>
                    <a:fillRect/>
                  </a:stretch>
                </pic:blipFill>
                <pic:spPr>
                  <a:xfrm>
                    <a:off x="0" y="0"/>
                    <a:ext cx="718820" cy="461010"/>
                  </a:xfrm>
                  <a:prstGeom prst="rect">
                    <a:avLst/>
                  </a:prstGeom>
                </pic:spPr>
              </pic:pic>
            </a:graphicData>
          </a:graphic>
        </wp:anchor>
      </w:drawing>
    </w: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阿克苏智汇人才服务</w:t>
    </w:r>
    <w:r>
      <w:rPr>
        <w:rFonts w:hint="eastAsia" w:eastAsiaTheme="minorEastAsia"/>
        <w:lang w:eastAsia="zh-CN"/>
      </w:rPr>
      <w:t>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55574E"/>
    <w:rsid w:val="0104303E"/>
    <w:rsid w:val="01E07299"/>
    <w:rsid w:val="0211124F"/>
    <w:rsid w:val="029C58B6"/>
    <w:rsid w:val="02CE3596"/>
    <w:rsid w:val="02EA4873"/>
    <w:rsid w:val="040604A9"/>
    <w:rsid w:val="05980692"/>
    <w:rsid w:val="073D05DE"/>
    <w:rsid w:val="07660A33"/>
    <w:rsid w:val="080D4B60"/>
    <w:rsid w:val="089922C8"/>
    <w:rsid w:val="09975029"/>
    <w:rsid w:val="09D65B51"/>
    <w:rsid w:val="09F2400E"/>
    <w:rsid w:val="09FC6C3A"/>
    <w:rsid w:val="0BD8082E"/>
    <w:rsid w:val="0BF528DE"/>
    <w:rsid w:val="0CB63A18"/>
    <w:rsid w:val="0CF12BAD"/>
    <w:rsid w:val="0F4F57A4"/>
    <w:rsid w:val="0FD115EF"/>
    <w:rsid w:val="11A02A7B"/>
    <w:rsid w:val="127203E1"/>
    <w:rsid w:val="127C6B6A"/>
    <w:rsid w:val="130628D8"/>
    <w:rsid w:val="131B2827"/>
    <w:rsid w:val="139879D4"/>
    <w:rsid w:val="13D604FC"/>
    <w:rsid w:val="14B42767"/>
    <w:rsid w:val="15CC7E09"/>
    <w:rsid w:val="15EC2259"/>
    <w:rsid w:val="16B0772A"/>
    <w:rsid w:val="170D06D9"/>
    <w:rsid w:val="17103D25"/>
    <w:rsid w:val="17710C68"/>
    <w:rsid w:val="17BE19D3"/>
    <w:rsid w:val="17DF25E3"/>
    <w:rsid w:val="18846779"/>
    <w:rsid w:val="18F465E3"/>
    <w:rsid w:val="19017297"/>
    <w:rsid w:val="19E020D4"/>
    <w:rsid w:val="1A9923D9"/>
    <w:rsid w:val="1BC709D8"/>
    <w:rsid w:val="1C9A0C60"/>
    <w:rsid w:val="1D230C56"/>
    <w:rsid w:val="1D997E65"/>
    <w:rsid w:val="1E692834"/>
    <w:rsid w:val="1EFD1033"/>
    <w:rsid w:val="1F826DA4"/>
    <w:rsid w:val="1FAD66F4"/>
    <w:rsid w:val="1FCB1131"/>
    <w:rsid w:val="203A606B"/>
    <w:rsid w:val="20D91840"/>
    <w:rsid w:val="215C6FE4"/>
    <w:rsid w:val="223C7FDC"/>
    <w:rsid w:val="2264147E"/>
    <w:rsid w:val="23A26E72"/>
    <w:rsid w:val="23DD436C"/>
    <w:rsid w:val="23FD59BD"/>
    <w:rsid w:val="2479115B"/>
    <w:rsid w:val="26C427F2"/>
    <w:rsid w:val="2908648D"/>
    <w:rsid w:val="294F2DD3"/>
    <w:rsid w:val="2975663E"/>
    <w:rsid w:val="2A8B6C6D"/>
    <w:rsid w:val="2B57010A"/>
    <w:rsid w:val="2B612949"/>
    <w:rsid w:val="2E500F2E"/>
    <w:rsid w:val="2F041F69"/>
    <w:rsid w:val="2FC11C09"/>
    <w:rsid w:val="32B819E9"/>
    <w:rsid w:val="333746BC"/>
    <w:rsid w:val="346C0F8D"/>
    <w:rsid w:val="350D601C"/>
    <w:rsid w:val="35DE67BA"/>
    <w:rsid w:val="36883480"/>
    <w:rsid w:val="36914A2B"/>
    <w:rsid w:val="3699743B"/>
    <w:rsid w:val="375F2433"/>
    <w:rsid w:val="37971BCD"/>
    <w:rsid w:val="37DF17C6"/>
    <w:rsid w:val="37E666B0"/>
    <w:rsid w:val="3914549F"/>
    <w:rsid w:val="3C265C15"/>
    <w:rsid w:val="3D5F4115"/>
    <w:rsid w:val="3E287A22"/>
    <w:rsid w:val="3E5A3954"/>
    <w:rsid w:val="3F2D2E17"/>
    <w:rsid w:val="40646D0C"/>
    <w:rsid w:val="40873B7A"/>
    <w:rsid w:val="40B11D0C"/>
    <w:rsid w:val="41DA54D8"/>
    <w:rsid w:val="426164FC"/>
    <w:rsid w:val="43223C0F"/>
    <w:rsid w:val="4368266F"/>
    <w:rsid w:val="43996CCD"/>
    <w:rsid w:val="45EE5265"/>
    <w:rsid w:val="46BF2EEE"/>
    <w:rsid w:val="472B0583"/>
    <w:rsid w:val="47BB1907"/>
    <w:rsid w:val="484F2050"/>
    <w:rsid w:val="48FA020D"/>
    <w:rsid w:val="49B33C44"/>
    <w:rsid w:val="49C01457"/>
    <w:rsid w:val="49CC1B61"/>
    <w:rsid w:val="4BFB76A0"/>
    <w:rsid w:val="4CCC1EC1"/>
    <w:rsid w:val="4D1711C1"/>
    <w:rsid w:val="4E0B149B"/>
    <w:rsid w:val="4F6F1974"/>
    <w:rsid w:val="503F29AA"/>
    <w:rsid w:val="50AF7B2F"/>
    <w:rsid w:val="50BE0A71"/>
    <w:rsid w:val="511C5981"/>
    <w:rsid w:val="51F0261E"/>
    <w:rsid w:val="5486504B"/>
    <w:rsid w:val="54CB7E3C"/>
    <w:rsid w:val="5632548A"/>
    <w:rsid w:val="58675193"/>
    <w:rsid w:val="5A6610C0"/>
    <w:rsid w:val="5B0B0058"/>
    <w:rsid w:val="5B85605C"/>
    <w:rsid w:val="5C9038B3"/>
    <w:rsid w:val="5D0D6A04"/>
    <w:rsid w:val="5D2E6280"/>
    <w:rsid w:val="5D6677C8"/>
    <w:rsid w:val="5E6A32E8"/>
    <w:rsid w:val="5EFB71CC"/>
    <w:rsid w:val="5F24793A"/>
    <w:rsid w:val="5F7F1015"/>
    <w:rsid w:val="613E7799"/>
    <w:rsid w:val="6200643D"/>
    <w:rsid w:val="62312EF8"/>
    <w:rsid w:val="640721AA"/>
    <w:rsid w:val="652A5B5F"/>
    <w:rsid w:val="657F3B1C"/>
    <w:rsid w:val="6592182B"/>
    <w:rsid w:val="659C092C"/>
    <w:rsid w:val="65C43C25"/>
    <w:rsid w:val="670C2965"/>
    <w:rsid w:val="677D0530"/>
    <w:rsid w:val="678C0773"/>
    <w:rsid w:val="686B65DA"/>
    <w:rsid w:val="68804644"/>
    <w:rsid w:val="698F3ABF"/>
    <w:rsid w:val="6A6B0B13"/>
    <w:rsid w:val="6A7E0847"/>
    <w:rsid w:val="6BAD2A66"/>
    <w:rsid w:val="6BF30DC0"/>
    <w:rsid w:val="6C663340"/>
    <w:rsid w:val="6D834437"/>
    <w:rsid w:val="6DB46CBB"/>
    <w:rsid w:val="6E6623CD"/>
    <w:rsid w:val="6F887A72"/>
    <w:rsid w:val="711772FF"/>
    <w:rsid w:val="713003C1"/>
    <w:rsid w:val="7141437C"/>
    <w:rsid w:val="719C5AD3"/>
    <w:rsid w:val="72165809"/>
    <w:rsid w:val="73593BFF"/>
    <w:rsid w:val="73644352"/>
    <w:rsid w:val="736D1458"/>
    <w:rsid w:val="73C7661F"/>
    <w:rsid w:val="755725D5"/>
    <w:rsid w:val="76960176"/>
    <w:rsid w:val="76F6721A"/>
    <w:rsid w:val="776C1A27"/>
    <w:rsid w:val="783E1615"/>
    <w:rsid w:val="78B868F7"/>
    <w:rsid w:val="78CA2EA9"/>
    <w:rsid w:val="78D1021F"/>
    <w:rsid w:val="7A1940E8"/>
    <w:rsid w:val="7A2F7467"/>
    <w:rsid w:val="7B4E6013"/>
    <w:rsid w:val="7B5C70B9"/>
    <w:rsid w:val="7C066719"/>
    <w:rsid w:val="7C434C07"/>
    <w:rsid w:val="7D0C7F34"/>
    <w:rsid w:val="7DA168CE"/>
    <w:rsid w:val="7DDE1BA2"/>
    <w:rsid w:val="7DF905A7"/>
    <w:rsid w:val="7E086FD3"/>
    <w:rsid w:val="7E81400A"/>
    <w:rsid w:val="7F8244DD"/>
    <w:rsid w:val="7F9B10FB"/>
    <w:rsid w:val="7FE77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231</Words>
  <Characters>305</Characters>
  <Lines>0</Lines>
  <Paragraphs>0</Paragraphs>
  <TotalTime>8</TotalTime>
  <ScaleCrop>false</ScaleCrop>
  <LinksUpToDate>false</LinksUpToDate>
  <CharactersWithSpaces>355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2025-10-25T16:06:30Z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