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default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电子签名设备采购项目信息安全管理</w:t>
      </w:r>
      <w:bookmarkEnd w:id="1"/>
      <w:r>
        <w:rPr>
          <w:rFonts w:hint="eastAsia"/>
          <w:lang w:val="en-US" w:eastAsia="zh-CN"/>
        </w:rPr>
        <w:t>计划</w:t>
      </w:r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66DEC6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安全目标与原则</w:t>
      </w:r>
    </w:p>
    <w:p w14:paraId="4438A5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为确保本项目中涉及的移动CA数字证书、医护人员及患者敏感信息、电子签名凭证等核心资产的安全性、机密性、完整性和可用性，特制定本计划。本计划遵循以下原则：</w:t>
      </w:r>
    </w:p>
    <w:p w14:paraId="6679ED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合规性原则： 严格遵守《中华人民共和国网络安全法》、《中华人民共和国数据安全法》、《中华人民共和国个人信息保护法》及卫生健康行业相关数据安全规定。</w:t>
      </w:r>
    </w:p>
    <w:p w14:paraId="0C75C6F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最小权限原则： 仅授予用户和系统执行任务所必需的最小权限。</w:t>
      </w:r>
    </w:p>
    <w:p w14:paraId="391780C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纵深防御原则： 采用多层次、多技术手段的安全防护措施。</w:t>
      </w:r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责任到人原则： 明确甲方、乙方及各岗位人员在安全管理中的职责。</w:t>
      </w:r>
    </w:p>
    <w:p w14:paraId="1CBE0C23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信息安全角色与职责</w:t>
      </w:r>
    </w:p>
    <w:p w14:paraId="58D8F135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 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SEQ 图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安全信息职责表</w:t>
      </w:r>
    </w:p>
    <w:tbl>
      <w:tblPr>
        <w:tblStyle w:val="21"/>
        <w:tblW w:w="90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99"/>
        <w:gridCol w:w="2242"/>
        <w:gridCol w:w="4267"/>
      </w:tblGrid>
      <w:tr w14:paraId="3162E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9" w:type="dxa"/>
            <w:vAlign w:val="center"/>
          </w:tcPr>
          <w:p w14:paraId="4D3E4823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</w:t>
            </w:r>
          </w:p>
        </w:tc>
        <w:tc>
          <w:tcPr>
            <w:tcW w:w="2242" w:type="dxa"/>
            <w:vAlign w:val="center"/>
          </w:tcPr>
          <w:p w14:paraId="21529458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所属单位</w:t>
            </w:r>
          </w:p>
        </w:tc>
        <w:tc>
          <w:tcPr>
            <w:tcW w:w="4267" w:type="dxa"/>
          </w:tcPr>
          <w:p w14:paraId="4C81EAA5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职责描述</w:t>
            </w:r>
          </w:p>
        </w:tc>
      </w:tr>
      <w:tr w14:paraId="16E8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9" w:type="dxa"/>
            <w:vAlign w:val="center"/>
          </w:tcPr>
          <w:p w14:paraId="568492ED">
            <w:pPr>
              <w:pStyle w:val="29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甲方安全负责人</w:t>
            </w:r>
          </w:p>
        </w:tc>
        <w:tc>
          <w:tcPr>
            <w:tcW w:w="2242" w:type="dxa"/>
            <w:vAlign w:val="center"/>
          </w:tcPr>
          <w:p w14:paraId="0EF6AD56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阿克苏云上数字集团</w:t>
            </w:r>
          </w:p>
        </w:tc>
        <w:tc>
          <w:tcPr>
            <w:tcW w:w="4267" w:type="dxa"/>
          </w:tcPr>
          <w:p w14:paraId="02634EA8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 负责审核与批准本计划；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 监督乙方安全活动执行情况；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3. 接收并处理重大安全事件报告。</w:t>
            </w:r>
          </w:p>
        </w:tc>
      </w:tr>
      <w:tr w14:paraId="3F00C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9" w:type="dxa"/>
            <w:vAlign w:val="center"/>
          </w:tcPr>
          <w:p w14:paraId="4599B7B1">
            <w:pPr>
              <w:pStyle w:val="29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乙方运维项目经理</w:t>
            </w:r>
          </w:p>
        </w:tc>
        <w:tc>
          <w:tcPr>
            <w:tcW w:w="2242" w:type="dxa"/>
            <w:vAlign w:val="center"/>
          </w:tcPr>
          <w:p w14:paraId="7A2BB287">
            <w:pPr>
              <w:pStyle w:val="29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阿克苏智汇人才</w:t>
            </w:r>
          </w:p>
        </w:tc>
        <w:tc>
          <w:tcPr>
            <w:tcW w:w="4267" w:type="dxa"/>
          </w:tcPr>
          <w:p w14:paraId="5C0AFCF1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 作为项目安全第一责任人，确保本计划全面落地；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 负责乙方项目组成员的安全意识教育；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3. 向甲方定期汇报安全状况。</w:t>
            </w:r>
          </w:p>
        </w:tc>
      </w:tr>
      <w:tr w14:paraId="5D5C1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34" w:hRule="atLeast"/>
        </w:trPr>
        <w:tc>
          <w:tcPr>
            <w:tcW w:w="2499" w:type="dxa"/>
            <w:vAlign w:val="center"/>
          </w:tcPr>
          <w:p w14:paraId="38C9B00B">
            <w:pPr>
              <w:pStyle w:val="29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乙方运维工程师</w:t>
            </w:r>
          </w:p>
        </w:tc>
        <w:tc>
          <w:tcPr>
            <w:tcW w:w="2242" w:type="dxa"/>
            <w:vAlign w:val="center"/>
          </w:tcPr>
          <w:p w14:paraId="20D96C9E">
            <w:pPr>
              <w:pStyle w:val="29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阿克苏智汇人才</w:t>
            </w:r>
          </w:p>
        </w:tc>
        <w:tc>
          <w:tcPr>
            <w:tcW w:w="4267" w:type="dxa"/>
            <w:tcBorders/>
          </w:tcPr>
          <w:p w14:paraId="38F17ECE">
            <w:pPr>
              <w:pStyle w:val="29"/>
              <w:ind w:left="0" w:leftChars="0" w:firstLine="0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 负责安全技术措施的实施与维护，包括系统访问控制、日志审计等；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 领导安全事件的技术应急响应与处置。</w:t>
            </w:r>
          </w:p>
          <w:p w14:paraId="30E18DD5">
            <w:pPr>
              <w:pStyle w:val="29"/>
              <w:ind w:left="0" w:leftChars="0" w:firstLine="0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3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 负责系统日常安全运维，包括漏洞扫描、补丁管理等；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. 管理用户账户与权限。</w:t>
            </w:r>
          </w:p>
        </w:tc>
      </w:tr>
    </w:tbl>
    <w:p w14:paraId="1F63BE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98D5327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核心资产与安全措施</w:t>
      </w:r>
    </w:p>
    <w:p w14:paraId="5DDD86F1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核心资产安全措施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1785"/>
        <w:gridCol w:w="3897"/>
      </w:tblGrid>
      <w:tr w14:paraId="3CB8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E64D6BB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核心资产</w:t>
            </w:r>
          </w:p>
        </w:tc>
        <w:tc>
          <w:tcPr>
            <w:tcW w:w="1785" w:type="dxa"/>
          </w:tcPr>
          <w:p w14:paraId="53FB16ED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3897" w:type="dxa"/>
          </w:tcPr>
          <w:p w14:paraId="41EE5B38">
            <w:pPr>
              <w:pStyle w:val="29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主要安全控制措施</w:t>
            </w:r>
          </w:p>
        </w:tc>
      </w:tr>
      <w:tr w14:paraId="2F5C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0A22A90">
            <w:pPr>
              <w:pStyle w:val="29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CA数字证书私钥</w:t>
            </w:r>
          </w:p>
        </w:tc>
        <w:tc>
          <w:tcPr>
            <w:tcW w:w="1785" w:type="dxa"/>
            <w:vAlign w:val="center"/>
          </w:tcPr>
          <w:p w14:paraId="75331157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存储在签名验签服务器硬件密码模块中</w:t>
            </w:r>
          </w:p>
        </w:tc>
        <w:tc>
          <w:tcPr>
            <w:tcW w:w="3897" w:type="dxa"/>
          </w:tcPr>
          <w:p w14:paraId="554B4973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 使用符合国家密码管理局要求的硬件密码机进行保护；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 严格的物理和逻辑访问控制，禁止未经授权的访问。</w:t>
            </w:r>
          </w:p>
        </w:tc>
      </w:tr>
      <w:tr w14:paraId="309A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7DD58B3">
            <w:pPr>
              <w:pStyle w:val="29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医人员/患者个人信息</w:t>
            </w:r>
          </w:p>
        </w:tc>
        <w:tc>
          <w:tcPr>
            <w:tcW w:w="1785" w:type="dxa"/>
            <w:vAlign w:val="center"/>
          </w:tcPr>
          <w:p w14:paraId="583B3776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姓名、身份证号、手机号等</w:t>
            </w:r>
          </w:p>
        </w:tc>
        <w:tc>
          <w:tcPr>
            <w:tcW w:w="3897" w:type="dxa"/>
          </w:tcPr>
          <w:p w14:paraId="2FB0F4C0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 数据传输全程采用TLS 1.2及以上协议加密；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 敏感信息在数据库中使用高强度算法（如AES-256）进行加密存储；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3. 严格的访问控制与审计日志，记录所有数据访问行为。</w:t>
            </w:r>
          </w:p>
        </w:tc>
      </w:tr>
      <w:tr w14:paraId="4658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DD7E6F1">
            <w:pPr>
              <w:pStyle w:val="29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电子签名法律文件</w:t>
            </w:r>
          </w:p>
        </w:tc>
        <w:tc>
          <w:tcPr>
            <w:tcW w:w="1785" w:type="dxa"/>
            <w:vAlign w:val="center"/>
          </w:tcPr>
          <w:p w14:paraId="2855E082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处方、病历、同意书等签名后的PDF文件</w:t>
            </w:r>
          </w:p>
        </w:tc>
        <w:tc>
          <w:tcPr>
            <w:tcW w:w="3897" w:type="dxa"/>
          </w:tcPr>
          <w:p w14:paraId="3DB46A5D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 使用符合《电子签名法》要求的数字签名与可信时间戳（合同附件第8、9、10项）；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 签名后的文件归档存储，确保不可篡改、可司法取证。</w:t>
            </w:r>
          </w:p>
        </w:tc>
      </w:tr>
      <w:tr w14:paraId="32A9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E93D745">
            <w:pPr>
              <w:pStyle w:val="29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系统源代码与文档</w:t>
            </w:r>
          </w:p>
        </w:tc>
        <w:tc>
          <w:tcPr>
            <w:tcW w:w="1785" w:type="dxa"/>
          </w:tcPr>
          <w:p w14:paraId="626857CC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乙方交付的软件系统及相关技术文档</w:t>
            </w:r>
          </w:p>
        </w:tc>
        <w:tc>
          <w:tcPr>
            <w:tcW w:w="3897" w:type="dxa"/>
          </w:tcPr>
          <w:p w14:paraId="5FD9B0C3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 乙方承诺不侵犯第三方知识产权（合同1.6.2.15条）；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 项目新成果知识产权归甲方所有（合同1.6.2.14条），源码及相关文档应在验收时完整移交甲方并保密。</w:t>
            </w:r>
          </w:p>
        </w:tc>
      </w:tr>
    </w:tbl>
    <w:p w14:paraId="18577C8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运维安全与事件响应</w:t>
      </w:r>
    </w:p>
    <w:p w14:paraId="58D3F3E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安全运维要求</w:t>
      </w:r>
    </w:p>
    <w:p w14:paraId="6181E9B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系统变更：任何系统升级、配置变更必须提前7个工作日书面通知甲方，并获得书面同意后方可实施（依据合同1.6.2.3条）。</w:t>
      </w:r>
    </w:p>
    <w:p w14:paraId="46E3C88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漏洞管理：乙方承诺每季度进行一次系统性安全漏洞扫描与评估，并及时修复中高危漏洞。</w:t>
      </w:r>
    </w:p>
    <w:p w14:paraId="24316F85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日志审计：系统应记录用户登录、认证、签名、数据访问等所有关键操作日志，并保留不少于180天，以满足审计和取证需要。</w:t>
      </w:r>
    </w:p>
    <w:p w14:paraId="1F2D455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安全事件响应</w:t>
      </w:r>
    </w:p>
    <w:p w14:paraId="4C4E51FE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响应目标：严格遵守合同SLA，保证10分钟内响应，30分钟内派工程师到达现场，2小时内解决故障。</w:t>
      </w:r>
    </w:p>
    <w:p w14:paraId="3BD38239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</w:t>
      </w:r>
    </w:p>
    <w:p w14:paraId="720587FA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发现与报告：任何安全事件需立即报告双方项目经理。</w:t>
      </w:r>
    </w:p>
    <w:p w14:paraId="243FF8CE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分析与抑制：乙方技术团队分析事件原因，并采取隔离、下线等措施防止影响扩大。</w:t>
      </w:r>
    </w:p>
    <w:p w14:paraId="19D06415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恢复与报告：清除威胁、恢复系统后，乙方需在3个工作日内向甲方提交《安全事件报告》，内容包括事件原因、影响范围、处置过程及改进措施。</w:t>
      </w:r>
    </w:p>
    <w:p w14:paraId="65D6A6F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培训与意识</w:t>
      </w:r>
    </w:p>
    <w:p w14:paraId="6E80F2E6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培训对象：</w:t>
      </w:r>
      <w:bookmarkStart w:id="2" w:name="_GoBack"/>
      <w:bookmarkEnd w:id="2"/>
      <w:r>
        <w:rPr>
          <w:rFonts w:hint="default"/>
          <w:lang w:val="en-US" w:eastAsia="zh-CN"/>
        </w:rPr>
        <w:t>甲方系统管理员、关键业务操作人员。</w:t>
      </w:r>
    </w:p>
    <w:p w14:paraId="2974F114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培训内容：系统安全配置、密码策略、数据备份与恢复、安全事件识别与上报流程。</w:t>
      </w:r>
    </w:p>
    <w:p w14:paraId="379456F4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培训频次：项目上线前进行一次集中培训，之后每半年进行一次安全意识 refresher training。</w:t>
      </w:r>
    </w:p>
    <w:p w14:paraId="00DE733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符合性检查与审计</w:t>
      </w:r>
    </w:p>
    <w:p w14:paraId="47F92AF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乙方有义务每半年进行一次安全自评估，并向甲方提交报告。</w:t>
      </w:r>
    </w:p>
    <w:p w14:paraId="6D1DBD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甲方有权在提前通知的情况下，对乙方的安全控制措施执行情况进行现场或远程审计，乙方应予配合。</w:t>
      </w:r>
    </w:p>
    <w:p w14:paraId="72A5808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所有安全活动均应保留记录，作为项目验收和运维期考核的依据。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4A2BF37"/>
    <w:multiLevelType w:val="singleLevel"/>
    <w:tmpl w:val="94A2BF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A55E2FB"/>
    <w:multiLevelType w:val="singleLevel"/>
    <w:tmpl w:val="9A55E2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DBFB43"/>
    <w:multiLevelType w:val="singleLevel"/>
    <w:tmpl w:val="15DBFB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1F693F"/>
    <w:rsid w:val="029C58B6"/>
    <w:rsid w:val="02CE3596"/>
    <w:rsid w:val="02EA4873"/>
    <w:rsid w:val="039B5B6E"/>
    <w:rsid w:val="040604A9"/>
    <w:rsid w:val="05980692"/>
    <w:rsid w:val="073D05DE"/>
    <w:rsid w:val="07660A33"/>
    <w:rsid w:val="080D4B60"/>
    <w:rsid w:val="09975029"/>
    <w:rsid w:val="09D65B51"/>
    <w:rsid w:val="09F2400E"/>
    <w:rsid w:val="09FC6C3A"/>
    <w:rsid w:val="0AC21C32"/>
    <w:rsid w:val="0CF12BAD"/>
    <w:rsid w:val="0E00366D"/>
    <w:rsid w:val="0F4F57A4"/>
    <w:rsid w:val="0F9242C9"/>
    <w:rsid w:val="0FD115EF"/>
    <w:rsid w:val="127C6B6A"/>
    <w:rsid w:val="130628D8"/>
    <w:rsid w:val="131B2827"/>
    <w:rsid w:val="1329102B"/>
    <w:rsid w:val="139879D4"/>
    <w:rsid w:val="13D604FC"/>
    <w:rsid w:val="1457788F"/>
    <w:rsid w:val="14B42767"/>
    <w:rsid w:val="15CC7E09"/>
    <w:rsid w:val="15EC2259"/>
    <w:rsid w:val="16B0772A"/>
    <w:rsid w:val="170D06D9"/>
    <w:rsid w:val="17103D25"/>
    <w:rsid w:val="17377504"/>
    <w:rsid w:val="17710C68"/>
    <w:rsid w:val="17BE19D3"/>
    <w:rsid w:val="17DF25E3"/>
    <w:rsid w:val="18846779"/>
    <w:rsid w:val="18F465E3"/>
    <w:rsid w:val="19E020D4"/>
    <w:rsid w:val="1A9923D9"/>
    <w:rsid w:val="1BC709D8"/>
    <w:rsid w:val="1BD96BFA"/>
    <w:rsid w:val="1D997E65"/>
    <w:rsid w:val="1E692834"/>
    <w:rsid w:val="1EFD1033"/>
    <w:rsid w:val="1F783C0F"/>
    <w:rsid w:val="1FCB1131"/>
    <w:rsid w:val="20D91840"/>
    <w:rsid w:val="212E1977"/>
    <w:rsid w:val="215C6FE4"/>
    <w:rsid w:val="21FD6859"/>
    <w:rsid w:val="22162B37"/>
    <w:rsid w:val="22590C76"/>
    <w:rsid w:val="22F60E21"/>
    <w:rsid w:val="23A26E72"/>
    <w:rsid w:val="23DD436C"/>
    <w:rsid w:val="23FD59BD"/>
    <w:rsid w:val="26C427F2"/>
    <w:rsid w:val="2908648D"/>
    <w:rsid w:val="290F6532"/>
    <w:rsid w:val="294F2DD3"/>
    <w:rsid w:val="2975663E"/>
    <w:rsid w:val="2A8B6C6D"/>
    <w:rsid w:val="2B612949"/>
    <w:rsid w:val="2BCA6741"/>
    <w:rsid w:val="2BFA7026"/>
    <w:rsid w:val="2D395BD2"/>
    <w:rsid w:val="2E500F2E"/>
    <w:rsid w:val="2E9A689E"/>
    <w:rsid w:val="2EF0783F"/>
    <w:rsid w:val="2F041F69"/>
    <w:rsid w:val="2FC11C09"/>
    <w:rsid w:val="315A2315"/>
    <w:rsid w:val="333746BC"/>
    <w:rsid w:val="346C0F8D"/>
    <w:rsid w:val="346F24C4"/>
    <w:rsid w:val="3489363D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97F7043"/>
    <w:rsid w:val="3C265C15"/>
    <w:rsid w:val="3D5F4115"/>
    <w:rsid w:val="3E287A22"/>
    <w:rsid w:val="3E5A3954"/>
    <w:rsid w:val="3F2D2E17"/>
    <w:rsid w:val="403A57EB"/>
    <w:rsid w:val="40646D0C"/>
    <w:rsid w:val="40873B7A"/>
    <w:rsid w:val="40924768"/>
    <w:rsid w:val="40B11D0C"/>
    <w:rsid w:val="41281AE7"/>
    <w:rsid w:val="41DA54D8"/>
    <w:rsid w:val="426164FC"/>
    <w:rsid w:val="43223C0F"/>
    <w:rsid w:val="4368266F"/>
    <w:rsid w:val="43996CCD"/>
    <w:rsid w:val="45EE5265"/>
    <w:rsid w:val="46BF2EEE"/>
    <w:rsid w:val="472B0583"/>
    <w:rsid w:val="47BB1907"/>
    <w:rsid w:val="48197BCA"/>
    <w:rsid w:val="484F2050"/>
    <w:rsid w:val="48C4659A"/>
    <w:rsid w:val="48FA020D"/>
    <w:rsid w:val="49B33C44"/>
    <w:rsid w:val="49CC1B61"/>
    <w:rsid w:val="4B007631"/>
    <w:rsid w:val="4BFB76A0"/>
    <w:rsid w:val="4D1711C1"/>
    <w:rsid w:val="4E0B149B"/>
    <w:rsid w:val="4E191136"/>
    <w:rsid w:val="4E465CA3"/>
    <w:rsid w:val="4F6F1974"/>
    <w:rsid w:val="4FA964E9"/>
    <w:rsid w:val="4FB32FC2"/>
    <w:rsid w:val="4FB56FA5"/>
    <w:rsid w:val="503F29AA"/>
    <w:rsid w:val="50BE0A71"/>
    <w:rsid w:val="511C5981"/>
    <w:rsid w:val="51F0261E"/>
    <w:rsid w:val="52156097"/>
    <w:rsid w:val="5486504B"/>
    <w:rsid w:val="54CB7E3C"/>
    <w:rsid w:val="5632548A"/>
    <w:rsid w:val="575E5E0B"/>
    <w:rsid w:val="58675193"/>
    <w:rsid w:val="59F52937"/>
    <w:rsid w:val="5A6610C0"/>
    <w:rsid w:val="5B0B0058"/>
    <w:rsid w:val="5B85605C"/>
    <w:rsid w:val="5D0D6A04"/>
    <w:rsid w:val="5D2E6280"/>
    <w:rsid w:val="5D6677C8"/>
    <w:rsid w:val="5E6A32E8"/>
    <w:rsid w:val="5EFB71CC"/>
    <w:rsid w:val="5F7F1015"/>
    <w:rsid w:val="613E7799"/>
    <w:rsid w:val="61545916"/>
    <w:rsid w:val="6200643D"/>
    <w:rsid w:val="62312EF8"/>
    <w:rsid w:val="62886432"/>
    <w:rsid w:val="63D3192F"/>
    <w:rsid w:val="640721AA"/>
    <w:rsid w:val="652A5B5F"/>
    <w:rsid w:val="657F3B1C"/>
    <w:rsid w:val="659C092C"/>
    <w:rsid w:val="65C43C25"/>
    <w:rsid w:val="678C0773"/>
    <w:rsid w:val="681C1AF7"/>
    <w:rsid w:val="68804644"/>
    <w:rsid w:val="698F3ABF"/>
    <w:rsid w:val="69DB27B6"/>
    <w:rsid w:val="6BAD2A66"/>
    <w:rsid w:val="6BF30DC0"/>
    <w:rsid w:val="6D631F76"/>
    <w:rsid w:val="6D834437"/>
    <w:rsid w:val="6DB46CBB"/>
    <w:rsid w:val="6E6623CD"/>
    <w:rsid w:val="6F887A72"/>
    <w:rsid w:val="70785D38"/>
    <w:rsid w:val="709D59AA"/>
    <w:rsid w:val="711772FF"/>
    <w:rsid w:val="713003C1"/>
    <w:rsid w:val="7141437C"/>
    <w:rsid w:val="73593BFF"/>
    <w:rsid w:val="73644352"/>
    <w:rsid w:val="73C7661F"/>
    <w:rsid w:val="75BD4C54"/>
    <w:rsid w:val="75DF01FB"/>
    <w:rsid w:val="7685090B"/>
    <w:rsid w:val="76960176"/>
    <w:rsid w:val="76F6721A"/>
    <w:rsid w:val="776C1A27"/>
    <w:rsid w:val="783E1615"/>
    <w:rsid w:val="78CA2EA9"/>
    <w:rsid w:val="78D1021F"/>
    <w:rsid w:val="7A1940E8"/>
    <w:rsid w:val="7A2F7467"/>
    <w:rsid w:val="7B4E6013"/>
    <w:rsid w:val="7B5C70B9"/>
    <w:rsid w:val="7C066719"/>
    <w:rsid w:val="7C2C37A3"/>
    <w:rsid w:val="7C434C07"/>
    <w:rsid w:val="7D0C7F34"/>
    <w:rsid w:val="7DA168CE"/>
    <w:rsid w:val="7DF905A7"/>
    <w:rsid w:val="7E086FD3"/>
    <w:rsid w:val="7E8835EA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231</Words>
  <Characters>305</Characters>
  <Lines>0</Lines>
  <Paragraphs>0</Paragraphs>
  <TotalTime>2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2025-10-25T16:56:13Z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