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8725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348"/>
      <w:r>
        <w:rPr>
          <w:rFonts w:hint="eastAsia"/>
          <w:lang w:val="en-US" w:eastAsia="zh-CN"/>
        </w:rPr>
        <w:t>2025年运维服务技术研发规划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EE2BC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_Toc8725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A9A02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2025年运维服务技术研发规划</w:t>
          </w:r>
          <w:r>
            <w:tab/>
          </w:r>
          <w:r>
            <w:fldChar w:fldCharType="begin"/>
          </w:r>
          <w:r>
            <w:instrText xml:space="preserve"> PAGEREF _Toc27348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B5CC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_Toc9689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94CC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_Toc13618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423D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_Toc1372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CCB0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研发目标</w:t>
          </w:r>
          <w:r>
            <w:tab/>
          </w:r>
          <w:r>
            <w:fldChar w:fldCharType="begin"/>
          </w:r>
          <w:r>
            <w:instrText xml:space="preserve"> PAGEREF _Toc7151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302D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成果描述</w:t>
          </w:r>
          <w:r>
            <w:tab/>
          </w:r>
          <w:r>
            <w:fldChar w:fldCharType="begin"/>
          </w:r>
          <w:r>
            <w:instrText xml:space="preserve"> PAGEREF _Toc32240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BFBEF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研发团队</w:t>
          </w:r>
          <w:r>
            <w:tab/>
          </w:r>
          <w:r>
            <w:fldChar w:fldCharType="begin"/>
          </w:r>
          <w:r>
            <w:instrText xml:space="preserve"> PAGEREF _Toc30192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9815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_Toc18009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3E5D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_Toc13454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D7B8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</w:t>
          </w:r>
          <w:r>
            <w:tab/>
          </w:r>
          <w:r>
            <w:fldChar w:fldCharType="begin"/>
          </w:r>
          <w:r>
            <w:instrText xml:space="preserve"> PAGEREF _Toc29070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6242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_Toc29158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F2C7E1">
      <w:pPr>
        <w:pStyle w:val="28"/>
        <w:bidi w:val="0"/>
        <w:rPr>
          <w:rFonts w:hint="default"/>
          <w:lang w:val="en-US" w:eastAsia="zh-CN"/>
        </w:rPr>
      </w:pPr>
      <w:bookmarkStart w:id="2" w:name="_Toc9689"/>
      <w:r>
        <w:rPr>
          <w:rFonts w:hint="default"/>
          <w:lang w:val="en-US" w:eastAsia="zh-CN"/>
        </w:rPr>
        <w:t>概述</w:t>
      </w:r>
      <w:bookmarkEnd w:id="2"/>
    </w:p>
    <w:p w14:paraId="79A473E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本公司运维服务能力成熟度（ITSS三级）的认证与持续提升，特制定本研发规划。本项目旨在通过研发与部署禅道过程管理工具，构建一个统一、标准化的运维服务过程管理平台，实现对公司《运维服务过程框架管理制度》的线上化、精细化落地。</w:t>
      </w:r>
    </w:p>
    <w:p w14:paraId="6E5E055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本规划的读者对象为：公司管理层、运维部、研发部、质量部、人力部、采购部及项目组全体成员。</w:t>
      </w:r>
    </w:p>
    <w:p w14:paraId="3B2EFCCE">
      <w:pPr>
        <w:pStyle w:val="28"/>
        <w:bidi w:val="0"/>
        <w:rPr>
          <w:rFonts w:hint="default"/>
          <w:lang w:val="en-US" w:eastAsia="zh-CN"/>
        </w:rPr>
      </w:pPr>
      <w:bookmarkStart w:id="3" w:name="_Toc13618"/>
      <w:r>
        <w:rPr>
          <w:rFonts w:hint="default"/>
          <w:lang w:val="en-US" w:eastAsia="zh-CN"/>
        </w:rPr>
        <w:t>总体规划</w:t>
      </w:r>
      <w:bookmarkEnd w:id="3"/>
    </w:p>
    <w:p w14:paraId="1EC5A1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 w14:paraId="3F6512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 w14:paraId="3EE14B9E">
      <w:pPr>
        <w:pStyle w:val="28"/>
        <w:bidi w:val="0"/>
        <w:rPr>
          <w:rFonts w:hint="default"/>
          <w:lang w:val="en-US" w:eastAsia="zh-CN"/>
        </w:rPr>
      </w:pPr>
      <w:bookmarkStart w:id="4" w:name="_Toc1372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 w14:paraId="066C3E5B">
      <w:pPr>
        <w:pStyle w:val="30"/>
        <w:bidi w:val="0"/>
        <w:rPr>
          <w:rFonts w:hint="default"/>
          <w:lang w:val="en-US" w:eastAsia="zh-CN"/>
        </w:rPr>
      </w:pPr>
      <w:bookmarkStart w:id="5" w:name="_Toc7151"/>
      <w:r>
        <w:rPr>
          <w:rFonts w:hint="default"/>
          <w:lang w:val="en-US" w:eastAsia="zh-CN"/>
        </w:rPr>
        <w:t>研发目标</w:t>
      </w:r>
      <w:bookmarkEnd w:id="5"/>
    </w:p>
    <w:p w14:paraId="5955CF0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解决现有审批流程线下执行不透明、环节易遗漏、权责不清晰、效率低下且记录难以追溯的痛点。通过本次审批流定制，实现：</w:t>
      </w:r>
    </w:p>
    <w:p w14:paraId="293656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审批路径强制固化：将ITSS体系及公司管理制度所要求的关键审批流程（如变更审批、资源申请、预算批复等）在系统中进行唯一路径固化，确保任何操作都必须经过规定的审批环节，杜绝越权与违规。</w:t>
      </w:r>
    </w:p>
    <w:p w14:paraId="596BCD6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流转条件自动驱动：配置基于业务规则的自动流转逻辑，实现任务在提交、驳回、转审等操作后，自动跳转至下一审批节点并通知对应审批人，大幅缩短等待时间。</w:t>
      </w:r>
    </w:p>
    <w:p w14:paraId="736BB0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审批权限精细管控：根据不同审批流程与环节，精确控制审批人角色的视图、操作与决策权限（如查看、通过、驳回、加签），确保权责对等与信息安全。</w:t>
      </w:r>
    </w:p>
    <w:p w14:paraId="4A14D7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审批数据完整记录：为每一次审批提供不可篡改的全过程记录，包括审批人、时间、意见与结论，为服务审计、合规检查与效能分析提供真实、可信的数据基础。</w:t>
      </w:r>
    </w:p>
    <w:p w14:paraId="20E3D45A">
      <w:pPr>
        <w:pStyle w:val="30"/>
        <w:bidi w:val="0"/>
        <w:rPr>
          <w:rFonts w:hint="default"/>
          <w:lang w:val="en-US" w:eastAsia="zh-CN"/>
        </w:rPr>
      </w:pPr>
      <w:bookmarkStart w:id="6" w:name="_Toc32240"/>
      <w:r>
        <w:rPr>
          <w:rFonts w:hint="default"/>
          <w:lang w:val="en-US" w:eastAsia="zh-CN"/>
        </w:rPr>
        <w:t>成果描述</w:t>
      </w:r>
      <w:bookmarkEnd w:id="6"/>
    </w:p>
    <w:p w14:paraId="1D710A1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交付成果为一套定制化部署的禅道过程管理工具系统。除系统本身外，交付物包括但不限于以下文档清单：</w:t>
      </w:r>
    </w:p>
    <w:p w14:paraId="359F9BCB">
      <w:pPr>
        <w:pStyle w:val="29"/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《禅道工作流二次开发</w:t>
      </w:r>
      <w:r>
        <w:rPr>
          <w:rFonts w:hint="eastAsia"/>
          <w:lang w:val="en-US" w:eastAsia="zh-CN"/>
        </w:rPr>
        <w:t>需求调研文档</w:t>
      </w:r>
      <w:r>
        <w:rPr>
          <w:rFonts w:hint="default"/>
          <w:lang w:val="en-US" w:eastAsia="zh-CN"/>
        </w:rPr>
        <w:t>》</w:t>
      </w:r>
    </w:p>
    <w:p w14:paraId="2B08893A">
      <w:pPr>
        <w:pStyle w:val="29"/>
        <w:numPr>
          <w:ilvl w:val="0"/>
          <w:numId w:val="2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《禅道工作流二次开发技术文档》</w:t>
      </w:r>
    </w:p>
    <w:p w14:paraId="05F117FD">
      <w:pPr>
        <w:pStyle w:val="30"/>
        <w:bidi w:val="0"/>
        <w:rPr>
          <w:rFonts w:hint="default"/>
          <w:lang w:val="en-US" w:eastAsia="zh-CN"/>
        </w:rPr>
      </w:pPr>
      <w:bookmarkStart w:id="7" w:name="_Toc30192"/>
      <w:r>
        <w:rPr>
          <w:rFonts w:hint="default"/>
          <w:lang w:val="en-US" w:eastAsia="zh-CN"/>
        </w:rPr>
        <w:t>研发团队</w:t>
      </w:r>
      <w:bookmarkEnd w:id="7"/>
    </w:p>
    <w:p w14:paraId="109ED10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根据公司发展需要，运维工具研发团队人员配置信息如表3-1所示</w:t>
      </w:r>
    </w:p>
    <w:p w14:paraId="73E9231D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21"/>
        <w:tblW w:w="8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75"/>
        <w:gridCol w:w="5280"/>
      </w:tblGrid>
      <w:tr w14:paraId="4FFE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C7EB64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675" w:type="dxa"/>
          </w:tcPr>
          <w:p w14:paraId="02A8243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5280" w:type="dxa"/>
          </w:tcPr>
          <w:p w14:paraId="56E97CEF">
            <w:pPr>
              <w:pStyle w:val="29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 w14:paraId="6E40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3AF1819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675" w:type="dxa"/>
          </w:tcPr>
          <w:p w14:paraId="5EB9927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 w14:paraId="698E9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 w14:paraId="7DFE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90E028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675" w:type="dxa"/>
          </w:tcPr>
          <w:p w14:paraId="4350CA0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 w14:paraId="364991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 w14:paraId="5147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4DAECDE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675" w:type="dxa"/>
          </w:tcPr>
          <w:p w14:paraId="4D394F8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5280" w:type="dxa"/>
          </w:tcPr>
          <w:p w14:paraId="670DF7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 w14:paraId="3783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BF7BC2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675" w:type="dxa"/>
          </w:tcPr>
          <w:p w14:paraId="2C2F5398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5280" w:type="dxa"/>
          </w:tcPr>
          <w:p w14:paraId="623B07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 w14:paraId="145A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A4759F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675" w:type="dxa"/>
          </w:tcPr>
          <w:p w14:paraId="14C026B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 w14:paraId="68B145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 w14:paraId="7FDB8D3F">
      <w:pPr>
        <w:pStyle w:val="30"/>
        <w:bidi w:val="0"/>
        <w:rPr>
          <w:rFonts w:hint="default"/>
          <w:lang w:val="en-US" w:eastAsia="zh-CN"/>
        </w:rPr>
      </w:pPr>
      <w:bookmarkStart w:id="8" w:name="_Toc18009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8"/>
    </w:p>
    <w:p w14:paraId="5A4225A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 w14:paraId="1A536685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001"/>
        <w:gridCol w:w="1959"/>
        <w:gridCol w:w="2126"/>
      </w:tblGrid>
      <w:tr w14:paraId="3E14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79" w:type="dxa"/>
          </w:tcPr>
          <w:p w14:paraId="5E70379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01" w:type="dxa"/>
          </w:tcPr>
          <w:p w14:paraId="7D068FC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959" w:type="dxa"/>
          </w:tcPr>
          <w:p w14:paraId="73D0E0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126" w:type="dxa"/>
          </w:tcPr>
          <w:p w14:paraId="1D34F6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</w:tr>
      <w:tr w14:paraId="5628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5D2FDB3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01" w:type="dxa"/>
          </w:tcPr>
          <w:p w14:paraId="548AC3F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 w14:paraId="37790E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126" w:type="dxa"/>
          </w:tcPr>
          <w:p w14:paraId="50EA7F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</w:tr>
      <w:tr w14:paraId="3791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6C6C9FF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01" w:type="dxa"/>
          </w:tcPr>
          <w:p w14:paraId="4CD02BD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 w14:paraId="058233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126" w:type="dxa"/>
          </w:tcPr>
          <w:p w14:paraId="77D80D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</w:tr>
      <w:tr w14:paraId="7E0A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532B5A0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01" w:type="dxa"/>
          </w:tcPr>
          <w:p w14:paraId="0E892ED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 w14:paraId="513816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126" w:type="dxa"/>
          </w:tcPr>
          <w:p w14:paraId="07823E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</w:tr>
    </w:tbl>
    <w:p w14:paraId="32BCF516">
      <w:pPr>
        <w:pStyle w:val="30"/>
        <w:bidi w:val="0"/>
        <w:rPr>
          <w:rFonts w:hint="default"/>
          <w:lang w:val="en-US" w:eastAsia="zh-CN"/>
        </w:rPr>
      </w:pPr>
      <w:bookmarkStart w:id="9" w:name="_Toc13454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9"/>
    </w:p>
    <w:p w14:paraId="706B9B1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研发所需环境如表3-3所示</w:t>
      </w:r>
    </w:p>
    <w:p w14:paraId="34F4FB2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 w14:paraId="2FF48074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研发进度表</w:t>
      </w:r>
    </w:p>
    <w:tbl>
      <w:tblPr>
        <w:tblStyle w:val="21"/>
        <w:tblW w:w="89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498"/>
        <w:gridCol w:w="5788"/>
      </w:tblGrid>
      <w:tr w14:paraId="27BC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100E8F0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498" w:type="dxa"/>
          </w:tcPr>
          <w:p w14:paraId="137D16E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5788" w:type="dxa"/>
          </w:tcPr>
          <w:p w14:paraId="56D475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</w:tr>
      <w:tr w14:paraId="7E1C5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0A5E16E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498" w:type="dxa"/>
          </w:tcPr>
          <w:p w14:paraId="082004A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5788" w:type="dxa"/>
          </w:tcPr>
          <w:p w14:paraId="2D24DE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</w:tr>
      <w:tr w14:paraId="6A02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6909730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498" w:type="dxa"/>
          </w:tcPr>
          <w:p w14:paraId="63D3909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5788" w:type="dxa"/>
          </w:tcPr>
          <w:p w14:paraId="68AC81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</w:tr>
      <w:tr w14:paraId="3D30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17ECACE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498" w:type="dxa"/>
          </w:tcPr>
          <w:p w14:paraId="7933297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 w14:paraId="1FE491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</w:tr>
      <w:tr w14:paraId="43D2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473C03B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498" w:type="dxa"/>
          </w:tcPr>
          <w:p w14:paraId="7F63088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 w14:paraId="6CCC15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</w:tr>
      <w:tr w14:paraId="62422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 w14:paraId="5DC8B86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498" w:type="dxa"/>
          </w:tcPr>
          <w:p w14:paraId="3C67F63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5788" w:type="dxa"/>
          </w:tcPr>
          <w:p w14:paraId="4DDDF4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研发部对系统进行完售后正式上线</w:t>
            </w:r>
          </w:p>
        </w:tc>
      </w:tr>
    </w:tbl>
    <w:p w14:paraId="20F10C15">
      <w:pPr>
        <w:pStyle w:val="28"/>
        <w:bidi w:val="0"/>
        <w:rPr>
          <w:rFonts w:hint="default"/>
          <w:lang w:val="en-US" w:eastAsia="zh-CN"/>
        </w:rPr>
      </w:pPr>
      <w:bookmarkStart w:id="10" w:name="_Toc29070"/>
      <w:r>
        <w:rPr>
          <w:rFonts w:hint="eastAsia"/>
          <w:lang w:val="en-US" w:eastAsia="zh-CN"/>
        </w:rPr>
        <w:t>运维服务手册研发</w:t>
      </w:r>
      <w:bookmarkEnd w:id="10"/>
    </w:p>
    <w:p w14:paraId="5323258C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本次规划的手册研发任务已全部按期完成。我们成功编撰并发布了三个核心领域的标准化手册，形成了公司第一代运维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知识的骨干内容。这些手册已正式投入日常使用，并在团队培训与技术实践中发挥了重要作用。</w:t>
      </w:r>
      <w:r>
        <w:rPr>
          <w:rFonts w:hint="eastAsia"/>
          <w:lang w:val="en-US" w:eastAsia="zh-CN"/>
        </w:rPr>
        <w:t>运维手册完成情况如表4-1所示</w:t>
      </w:r>
    </w:p>
    <w:p w14:paraId="2A6C970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运维手册研发进度表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 w14:paraId="59B0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1DD6559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 w14:paraId="0115FF2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2841" w:type="dxa"/>
          </w:tcPr>
          <w:p w14:paraId="2AF7971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</w:tr>
      <w:tr w14:paraId="5EB8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560B8867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3E97B19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2841" w:type="dxa"/>
          </w:tcPr>
          <w:p w14:paraId="128E06D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 w14:paraId="1976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25C5AA71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211EACA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2841" w:type="dxa"/>
          </w:tcPr>
          <w:p w14:paraId="3BC85A8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</w:tr>
      <w:tr w14:paraId="7CCB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26090C29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5C85358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2841" w:type="dxa"/>
          </w:tcPr>
          <w:p w14:paraId="5DA055D9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</w:tr>
    </w:tbl>
    <w:p w14:paraId="77DD89DF">
      <w:pPr>
        <w:pStyle w:val="28"/>
        <w:bidi w:val="0"/>
        <w:rPr>
          <w:rFonts w:hint="default"/>
          <w:lang w:val="en-US" w:eastAsia="zh-CN"/>
        </w:rPr>
      </w:pPr>
      <w:bookmarkStart w:id="11" w:name="_Toc29158"/>
      <w:r>
        <w:rPr>
          <w:rFonts w:hint="eastAsia"/>
          <w:lang w:val="en-US" w:eastAsia="zh-CN"/>
        </w:rPr>
        <w:t>研发经费</w:t>
      </w:r>
      <w:bookmarkEnd w:id="11"/>
    </w:p>
    <w:p w14:paraId="6E420C50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 w14:paraId="65D0B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F62D2F5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 w14:paraId="142F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18C02FE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 w14:paraId="5FCBD608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 w14:paraId="6FBA8FC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 w14:paraId="3FE2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258BA2F">
            <w:pPr>
              <w:pStyle w:val="29"/>
              <w:widowControl w:val="0"/>
              <w:numPr>
                <w:ilvl w:val="0"/>
                <w:numId w:val="4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6FCD1F9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 w14:paraId="45E2C73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67D3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50B50325">
            <w:pPr>
              <w:pStyle w:val="29"/>
              <w:widowControl w:val="0"/>
              <w:numPr>
                <w:ilvl w:val="0"/>
                <w:numId w:val="4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7AC8412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 w14:paraId="75C8487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 w14:paraId="3DC53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060C4FF">
            <w:pPr>
              <w:pStyle w:val="29"/>
              <w:widowControl w:val="0"/>
              <w:numPr>
                <w:ilvl w:val="0"/>
                <w:numId w:val="4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053CEEA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 w14:paraId="229B4D87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 w14:paraId="4574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76C81B30">
            <w:pPr>
              <w:pStyle w:val="29"/>
              <w:widowControl w:val="0"/>
              <w:numPr>
                <w:ilvl w:val="0"/>
                <w:numId w:val="4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1507321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 w14:paraId="73270B4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 w14:paraId="08ABEB93">
      <w:pPr>
        <w:pStyle w:val="28"/>
        <w:bidi w:val="0"/>
        <w:rPr>
          <w:rFonts w:hint="default"/>
          <w:lang w:val="en-US" w:eastAsia="zh-CN"/>
        </w:rPr>
      </w:pPr>
      <w:bookmarkStart w:id="12" w:name="_Toc14087"/>
      <w:r>
        <w:rPr>
          <w:rFonts w:hint="eastAsia"/>
          <w:lang w:val="en-US" w:eastAsia="zh-CN"/>
        </w:rPr>
        <w:t>新技术研发</w:t>
      </w:r>
      <w:bookmarkEnd w:id="12"/>
    </w:p>
    <w:p w14:paraId="64BE96C8">
      <w:pPr>
        <w:pStyle w:val="29"/>
        <w:rPr>
          <w:rFonts w:hint="default"/>
          <w:lang w:val="en-US" w:eastAsia="zh-CN"/>
        </w:rPr>
      </w:pPr>
      <w:bookmarkStart w:id="13" w:name="_GoBack"/>
      <w:bookmarkEnd w:id="13"/>
      <w:r>
        <w:rPr>
          <w:rFonts w:hint="default"/>
          <w:lang w:val="en-US" w:eastAsia="zh-CN"/>
        </w:rPr>
        <w:t>为构建公司未来的技术竞争力，本规划在夯实流程化管理的基础上，同步启动新技术的预研工作。本轮研究将聚焦于运维自动化与智能化，旨在从“被动响应”向“主动预防”演进。</w:t>
      </w:r>
    </w:p>
    <w:p w14:paraId="7F001FF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研究内容与目标：</w:t>
      </w:r>
    </w:p>
    <w:p w14:paraId="15C0E8A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探索AIOps智能运维与可观测性技术栈。计划在2025年第四季度，基于开源技术搭建原型系统，实现智能告警收敛与自动化故障处理的初步能力，并与禅道流程平台进行集成验证。此举旨在提升运维效率，并为公司积累智能运维领域的核心技术与人才储备。</w:t>
      </w:r>
    </w:p>
    <w:p w14:paraId="1ECE91A1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EE1DE1B"/>
    <w:multiLevelType w:val="singleLevel"/>
    <w:tmpl w:val="AEE1DE1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EFE97EC"/>
    <w:multiLevelType w:val="singleLevel"/>
    <w:tmpl w:val="EEFE9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9320EFE"/>
    <w:multiLevelType w:val="singleLevel"/>
    <w:tmpl w:val="29320E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B85F94"/>
    <w:rsid w:val="01E07299"/>
    <w:rsid w:val="0211124F"/>
    <w:rsid w:val="029C58B6"/>
    <w:rsid w:val="02CE3596"/>
    <w:rsid w:val="02EA4873"/>
    <w:rsid w:val="03800D34"/>
    <w:rsid w:val="03964C18"/>
    <w:rsid w:val="03FF434E"/>
    <w:rsid w:val="040604A9"/>
    <w:rsid w:val="056401E1"/>
    <w:rsid w:val="05980692"/>
    <w:rsid w:val="073D05DE"/>
    <w:rsid w:val="07660A33"/>
    <w:rsid w:val="080D4B60"/>
    <w:rsid w:val="08335203"/>
    <w:rsid w:val="0946657C"/>
    <w:rsid w:val="09975029"/>
    <w:rsid w:val="09D65B51"/>
    <w:rsid w:val="09F2400E"/>
    <w:rsid w:val="09FC6C3A"/>
    <w:rsid w:val="0A3E36F7"/>
    <w:rsid w:val="0C3B7C2D"/>
    <w:rsid w:val="0C7E427E"/>
    <w:rsid w:val="0CCC4FB6"/>
    <w:rsid w:val="0CF12BAD"/>
    <w:rsid w:val="0DE87A43"/>
    <w:rsid w:val="0E760714"/>
    <w:rsid w:val="0F4F57A4"/>
    <w:rsid w:val="0F707EAE"/>
    <w:rsid w:val="0FC14BAE"/>
    <w:rsid w:val="0FD115EF"/>
    <w:rsid w:val="1090632E"/>
    <w:rsid w:val="10BC4184"/>
    <w:rsid w:val="11643A43"/>
    <w:rsid w:val="119241CD"/>
    <w:rsid w:val="12462F6D"/>
    <w:rsid w:val="127C6B6A"/>
    <w:rsid w:val="130628D8"/>
    <w:rsid w:val="131B2827"/>
    <w:rsid w:val="139879D4"/>
    <w:rsid w:val="13C7650B"/>
    <w:rsid w:val="13C96DB4"/>
    <w:rsid w:val="13D604FC"/>
    <w:rsid w:val="14B42767"/>
    <w:rsid w:val="14E131B8"/>
    <w:rsid w:val="155B6F0B"/>
    <w:rsid w:val="15CC7E09"/>
    <w:rsid w:val="15EC2259"/>
    <w:rsid w:val="165C67D2"/>
    <w:rsid w:val="168D7F33"/>
    <w:rsid w:val="16B0772A"/>
    <w:rsid w:val="170D06D9"/>
    <w:rsid w:val="17103D25"/>
    <w:rsid w:val="175B58E8"/>
    <w:rsid w:val="17710C68"/>
    <w:rsid w:val="17B42F96"/>
    <w:rsid w:val="17BE19D3"/>
    <w:rsid w:val="17DF25E3"/>
    <w:rsid w:val="18846779"/>
    <w:rsid w:val="18F465E3"/>
    <w:rsid w:val="19E020D4"/>
    <w:rsid w:val="1A9923D9"/>
    <w:rsid w:val="1AC77972"/>
    <w:rsid w:val="1B75684C"/>
    <w:rsid w:val="1BC709D8"/>
    <w:rsid w:val="1D796AC8"/>
    <w:rsid w:val="1D997E65"/>
    <w:rsid w:val="1E472722"/>
    <w:rsid w:val="1E692834"/>
    <w:rsid w:val="1EFD1033"/>
    <w:rsid w:val="1FCB1131"/>
    <w:rsid w:val="208B60BF"/>
    <w:rsid w:val="20A57BD4"/>
    <w:rsid w:val="20D91840"/>
    <w:rsid w:val="215C6FE4"/>
    <w:rsid w:val="21CC3D6A"/>
    <w:rsid w:val="21F229A5"/>
    <w:rsid w:val="223C1E72"/>
    <w:rsid w:val="23A26E72"/>
    <w:rsid w:val="23DD436C"/>
    <w:rsid w:val="23FD5040"/>
    <w:rsid w:val="23FD59BD"/>
    <w:rsid w:val="241B5143"/>
    <w:rsid w:val="24AF7273"/>
    <w:rsid w:val="24BB1774"/>
    <w:rsid w:val="25D23159"/>
    <w:rsid w:val="26C427F2"/>
    <w:rsid w:val="275B1E95"/>
    <w:rsid w:val="27BB7CDD"/>
    <w:rsid w:val="286839C1"/>
    <w:rsid w:val="288B5901"/>
    <w:rsid w:val="2908648D"/>
    <w:rsid w:val="294F2DD3"/>
    <w:rsid w:val="2975663E"/>
    <w:rsid w:val="2A051332"/>
    <w:rsid w:val="2A247DBB"/>
    <w:rsid w:val="2A8B6C6D"/>
    <w:rsid w:val="2A9F5694"/>
    <w:rsid w:val="2B595843"/>
    <w:rsid w:val="2B612949"/>
    <w:rsid w:val="2BEE68D3"/>
    <w:rsid w:val="2C02412C"/>
    <w:rsid w:val="2C0C6D59"/>
    <w:rsid w:val="2C7843EE"/>
    <w:rsid w:val="2DE03FF9"/>
    <w:rsid w:val="2E500F2E"/>
    <w:rsid w:val="2EDC2A13"/>
    <w:rsid w:val="2F041F69"/>
    <w:rsid w:val="2FC11C09"/>
    <w:rsid w:val="30DC0C55"/>
    <w:rsid w:val="30E87D95"/>
    <w:rsid w:val="32973BC7"/>
    <w:rsid w:val="329D695D"/>
    <w:rsid w:val="333746BC"/>
    <w:rsid w:val="335A65FC"/>
    <w:rsid w:val="34270BD4"/>
    <w:rsid w:val="346C0F8D"/>
    <w:rsid w:val="346F60D7"/>
    <w:rsid w:val="349618B6"/>
    <w:rsid w:val="350D601C"/>
    <w:rsid w:val="35DE67BA"/>
    <w:rsid w:val="35E86443"/>
    <w:rsid w:val="363650FE"/>
    <w:rsid w:val="364A51B9"/>
    <w:rsid w:val="36883480"/>
    <w:rsid w:val="36914A2B"/>
    <w:rsid w:val="3699743B"/>
    <w:rsid w:val="373A29CC"/>
    <w:rsid w:val="375F2433"/>
    <w:rsid w:val="37704640"/>
    <w:rsid w:val="37971BCD"/>
    <w:rsid w:val="37DF17C6"/>
    <w:rsid w:val="37E666B0"/>
    <w:rsid w:val="3914549F"/>
    <w:rsid w:val="39225E0E"/>
    <w:rsid w:val="3BF07775"/>
    <w:rsid w:val="3C265C15"/>
    <w:rsid w:val="3D5777E0"/>
    <w:rsid w:val="3D5F4115"/>
    <w:rsid w:val="3DE11DF4"/>
    <w:rsid w:val="3E287A22"/>
    <w:rsid w:val="3E3D2DA2"/>
    <w:rsid w:val="3E5A3954"/>
    <w:rsid w:val="3EA3282A"/>
    <w:rsid w:val="3EC2309F"/>
    <w:rsid w:val="3F2D2E17"/>
    <w:rsid w:val="3F5035C0"/>
    <w:rsid w:val="4021297B"/>
    <w:rsid w:val="403D352D"/>
    <w:rsid w:val="40610FCA"/>
    <w:rsid w:val="40646D0C"/>
    <w:rsid w:val="40873B7A"/>
    <w:rsid w:val="40B11D0C"/>
    <w:rsid w:val="40E514B0"/>
    <w:rsid w:val="41DA54D8"/>
    <w:rsid w:val="426164FC"/>
    <w:rsid w:val="43223C0F"/>
    <w:rsid w:val="4368266F"/>
    <w:rsid w:val="43996CCD"/>
    <w:rsid w:val="43E048FB"/>
    <w:rsid w:val="45EE5265"/>
    <w:rsid w:val="46BF2EEE"/>
    <w:rsid w:val="472B0583"/>
    <w:rsid w:val="478E083A"/>
    <w:rsid w:val="47BB1907"/>
    <w:rsid w:val="48164D90"/>
    <w:rsid w:val="481C70CD"/>
    <w:rsid w:val="481F2B47"/>
    <w:rsid w:val="484F2050"/>
    <w:rsid w:val="48FA020D"/>
    <w:rsid w:val="49B33C44"/>
    <w:rsid w:val="49CC1B61"/>
    <w:rsid w:val="4A6A4F1F"/>
    <w:rsid w:val="4A987CDE"/>
    <w:rsid w:val="4AF13892"/>
    <w:rsid w:val="4B125CE2"/>
    <w:rsid w:val="4BFB76A0"/>
    <w:rsid w:val="4D1711C1"/>
    <w:rsid w:val="4D2E0486"/>
    <w:rsid w:val="4E0B149B"/>
    <w:rsid w:val="4F6F1974"/>
    <w:rsid w:val="503F29AA"/>
    <w:rsid w:val="50BE0A71"/>
    <w:rsid w:val="511C5981"/>
    <w:rsid w:val="51E952C3"/>
    <w:rsid w:val="51F0261E"/>
    <w:rsid w:val="52344790"/>
    <w:rsid w:val="527821A3"/>
    <w:rsid w:val="52C305DB"/>
    <w:rsid w:val="52FB05DD"/>
    <w:rsid w:val="534A1D91"/>
    <w:rsid w:val="54723E7D"/>
    <w:rsid w:val="5486504B"/>
    <w:rsid w:val="54CB7E3C"/>
    <w:rsid w:val="5632548A"/>
    <w:rsid w:val="570F30D6"/>
    <w:rsid w:val="57A008EC"/>
    <w:rsid w:val="58340B4B"/>
    <w:rsid w:val="58675193"/>
    <w:rsid w:val="58F24FC1"/>
    <w:rsid w:val="5A6610C0"/>
    <w:rsid w:val="5B0B0058"/>
    <w:rsid w:val="5B641FD2"/>
    <w:rsid w:val="5B661732"/>
    <w:rsid w:val="5B85605C"/>
    <w:rsid w:val="5C7A1030"/>
    <w:rsid w:val="5D0D6A04"/>
    <w:rsid w:val="5D2E6280"/>
    <w:rsid w:val="5D6677C8"/>
    <w:rsid w:val="5E6A32E8"/>
    <w:rsid w:val="5EFB71CC"/>
    <w:rsid w:val="5F7F1015"/>
    <w:rsid w:val="60D4713E"/>
    <w:rsid w:val="613E7799"/>
    <w:rsid w:val="617F70AA"/>
    <w:rsid w:val="6200643D"/>
    <w:rsid w:val="62312EF8"/>
    <w:rsid w:val="62691AE8"/>
    <w:rsid w:val="63E61662"/>
    <w:rsid w:val="640721AA"/>
    <w:rsid w:val="652A5B5F"/>
    <w:rsid w:val="657F3B1C"/>
    <w:rsid w:val="659C092C"/>
    <w:rsid w:val="65C43C25"/>
    <w:rsid w:val="664F6C9C"/>
    <w:rsid w:val="66CF4630"/>
    <w:rsid w:val="678C0773"/>
    <w:rsid w:val="67CA4DF7"/>
    <w:rsid w:val="6860298C"/>
    <w:rsid w:val="68804644"/>
    <w:rsid w:val="698F3ABF"/>
    <w:rsid w:val="6AAB416A"/>
    <w:rsid w:val="6ADF6E0B"/>
    <w:rsid w:val="6BAD2A66"/>
    <w:rsid w:val="6BE168CF"/>
    <w:rsid w:val="6BF30DC0"/>
    <w:rsid w:val="6C2170AC"/>
    <w:rsid w:val="6C615D2A"/>
    <w:rsid w:val="6D6B2A55"/>
    <w:rsid w:val="6D834437"/>
    <w:rsid w:val="6DB46CBB"/>
    <w:rsid w:val="6DBD1686"/>
    <w:rsid w:val="6E6623CD"/>
    <w:rsid w:val="6EA747C8"/>
    <w:rsid w:val="6EFF182A"/>
    <w:rsid w:val="6F887A72"/>
    <w:rsid w:val="6F944668"/>
    <w:rsid w:val="700215D2"/>
    <w:rsid w:val="70FC4273"/>
    <w:rsid w:val="711772FF"/>
    <w:rsid w:val="713003C1"/>
    <w:rsid w:val="7141437C"/>
    <w:rsid w:val="71500A63"/>
    <w:rsid w:val="71702D53"/>
    <w:rsid w:val="727918F3"/>
    <w:rsid w:val="72A92B70"/>
    <w:rsid w:val="73593BFF"/>
    <w:rsid w:val="73644352"/>
    <w:rsid w:val="73C7661F"/>
    <w:rsid w:val="741713C4"/>
    <w:rsid w:val="75FE0A8D"/>
    <w:rsid w:val="76960176"/>
    <w:rsid w:val="76F6721A"/>
    <w:rsid w:val="776C1A27"/>
    <w:rsid w:val="783E1615"/>
    <w:rsid w:val="78540E39"/>
    <w:rsid w:val="785E1CB7"/>
    <w:rsid w:val="787A2067"/>
    <w:rsid w:val="78CA2EA9"/>
    <w:rsid w:val="78D1021F"/>
    <w:rsid w:val="7A1940E8"/>
    <w:rsid w:val="7A2F7467"/>
    <w:rsid w:val="7A933CAA"/>
    <w:rsid w:val="7B4E6013"/>
    <w:rsid w:val="7B503B39"/>
    <w:rsid w:val="7B5C70B9"/>
    <w:rsid w:val="7C066719"/>
    <w:rsid w:val="7C434C07"/>
    <w:rsid w:val="7D0C7F34"/>
    <w:rsid w:val="7D891584"/>
    <w:rsid w:val="7DA168CE"/>
    <w:rsid w:val="7DF905A7"/>
    <w:rsid w:val="7E086FD3"/>
    <w:rsid w:val="7F3F44E9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1901</Words>
  <Characters>2111</Characters>
  <Lines>0</Lines>
  <Paragraphs>0</Paragraphs>
  <TotalTime>0</TotalTime>
  <ScaleCrop>false</ScaleCrop>
  <LinksUpToDate>false</LinksUpToDate>
  <CharactersWithSpaces>2162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2025-10-26T15:15:05Z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