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4915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default"/>
          <w:lang w:val="en-US" w:eastAsia="zh-CN"/>
        </w:rPr>
      </w:pPr>
      <w:bookmarkStart w:id="1" w:name="_Toc9012"/>
      <w:r>
        <w:rPr>
          <w:rFonts w:hint="eastAsia"/>
          <w:lang w:val="en-US" w:eastAsia="zh-CN"/>
        </w:rPr>
        <w:t>2025年1-10月运维服务技术研发报告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EC20C5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_Toc24915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0CFD4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2025年1-10月运维服务技术研发报告</w:t>
          </w:r>
          <w:r>
            <w:tab/>
          </w:r>
          <w:r>
            <w:fldChar w:fldCharType="begin"/>
          </w:r>
          <w:r>
            <w:instrText xml:space="preserve"> PAGEREF _Toc9012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010F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_Toc5990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9A10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总体规划</w:t>
          </w:r>
          <w:r>
            <w:tab/>
          </w:r>
          <w:r>
            <w:fldChar w:fldCharType="begin"/>
          </w:r>
          <w:r>
            <w:instrText xml:space="preserve"> PAGEREF _Toc6527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264DE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禅道过程管理工具项目</w:t>
          </w:r>
          <w:r>
            <w:rPr>
              <w:rFonts w:hint="eastAsia"/>
              <w:lang w:val="en-US" w:eastAsia="zh-CN"/>
            </w:rPr>
            <w:t>二次开发</w:t>
          </w:r>
          <w:r>
            <w:tab/>
          </w:r>
          <w:r>
            <w:fldChar w:fldCharType="begin"/>
          </w:r>
          <w:r>
            <w:instrText xml:space="preserve"> PAGEREF _Toc4756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00940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研发目标</w:t>
          </w:r>
          <w:r>
            <w:tab/>
          </w:r>
          <w:r>
            <w:fldChar w:fldCharType="begin"/>
          </w:r>
          <w:r>
            <w:instrText xml:space="preserve"> PAGEREF _Toc5864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5565F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成果描述</w:t>
          </w:r>
          <w:r>
            <w:tab/>
          </w:r>
          <w:r>
            <w:fldChar w:fldCharType="begin"/>
          </w:r>
          <w:r>
            <w:instrText xml:space="preserve"> PAGEREF _Toc12841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90ADA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研发团队</w:t>
          </w:r>
          <w:r>
            <w:tab/>
          </w:r>
          <w:r>
            <w:fldChar w:fldCharType="begin"/>
          </w:r>
          <w:r>
            <w:instrText xml:space="preserve"> PAGEREF _Toc17118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368C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研发</w:t>
          </w:r>
          <w:r>
            <w:rPr>
              <w:rFonts w:hint="eastAsia"/>
              <w:lang w:val="en-US" w:eastAsia="zh-CN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_Toc6084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864A9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研发</w:t>
          </w:r>
          <w:r>
            <w:rPr>
              <w:rFonts w:hint="eastAsia"/>
              <w:lang w:val="en-US" w:eastAsia="zh-CN"/>
            </w:rPr>
            <w:t>进度</w:t>
          </w:r>
          <w:r>
            <w:tab/>
          </w:r>
          <w:r>
            <w:fldChar w:fldCharType="begin"/>
          </w:r>
          <w:r>
            <w:instrText xml:space="preserve"> PAGEREF _Toc14515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CA716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_Toc6390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运维服务手册研发</w:t>
          </w:r>
          <w:r>
            <w:tab/>
          </w:r>
          <w:r>
            <w:fldChar w:fldCharType="begin"/>
          </w:r>
          <w:r>
            <w:instrText xml:space="preserve"> PAGEREF _Toc6390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DAC79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研发经费</w:t>
          </w:r>
          <w:r>
            <w:tab/>
          </w:r>
          <w:r>
            <w:fldChar w:fldCharType="begin"/>
          </w:r>
          <w:r>
            <w:instrText xml:space="preserve"> PAGEREF _Toc2345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8D76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_Toc14087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_Toc14087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6F2C7E1">
      <w:pPr>
        <w:pStyle w:val="28"/>
        <w:bidi w:val="0"/>
        <w:rPr>
          <w:rFonts w:hint="default"/>
          <w:lang w:val="en-US" w:eastAsia="zh-CN"/>
        </w:rPr>
      </w:pPr>
      <w:bookmarkStart w:id="2" w:name="_Toc5990"/>
      <w:r>
        <w:rPr>
          <w:rFonts w:hint="default"/>
          <w:lang w:val="en-US" w:eastAsia="zh-CN"/>
        </w:rPr>
        <w:t>概述</w:t>
      </w:r>
      <w:bookmarkEnd w:id="2"/>
    </w:p>
    <w:p w14:paraId="3FFA93C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公司运维服务能力成熟度（ITSS三级）的认证与持续提升，我公司于2025年启动了以“禅道过程管理工具二次开发”为核心的运维研发技术规划。项目旨在通过构建统一的过程管理平台与配套知识体系，解决流程线下执行不透明、协作效率低、过程数据难统计的痛点，并布局未来技术竞争力。目前，项目已按计划完成全部研发与部署工作，达成预期目标。</w:t>
      </w:r>
    </w:p>
    <w:p w14:paraId="3B2EFCCE">
      <w:pPr>
        <w:pStyle w:val="28"/>
        <w:bidi w:val="0"/>
        <w:rPr>
          <w:rFonts w:hint="default"/>
          <w:lang w:val="en-US" w:eastAsia="zh-CN"/>
        </w:rPr>
      </w:pPr>
      <w:bookmarkStart w:id="3" w:name="_Toc6527"/>
      <w:r>
        <w:rPr>
          <w:rFonts w:hint="default"/>
          <w:lang w:val="en-US" w:eastAsia="zh-CN"/>
        </w:rPr>
        <w:t>总体规划</w:t>
      </w:r>
      <w:bookmarkEnd w:id="3"/>
    </w:p>
    <w:p w14:paraId="1EC5A12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基于开源禅道平台，进行以工作流引擎定制为核心的二次开发。规划通过配置与开发，在禅道中构建与公司制度完全匹配的运维过程模型，实现任务状态、流转规则、角色权限的精细控制，打通跨部门协同壁垒，形成覆盖服务全生命周期的线上管理闭环。</w:t>
      </w:r>
    </w:p>
    <w:p w14:paraId="3F65126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同时，为固化运维服务标准、促进知识传承并满足ITSS体系文件要求，本项目将同步启动</w:t>
      </w:r>
      <w:r>
        <w:rPr>
          <w:rFonts w:hint="eastAsia"/>
          <w:lang w:val="en-US" w:eastAsia="zh-CN"/>
        </w:rPr>
        <w:t>运维手册</w:t>
      </w:r>
      <w:r>
        <w:rPr>
          <w:rFonts w:hint="default"/>
          <w:lang w:val="en-US" w:eastAsia="zh-CN"/>
        </w:rPr>
        <w:t>的编撰工作。该手册将与禅道系统中的线上流程互为支撑，共同构成公司运维服务管理的核心资产。</w:t>
      </w:r>
    </w:p>
    <w:p w14:paraId="3EE14B9E">
      <w:pPr>
        <w:pStyle w:val="28"/>
        <w:bidi w:val="0"/>
        <w:rPr>
          <w:rFonts w:hint="default"/>
          <w:lang w:val="en-US" w:eastAsia="zh-CN"/>
        </w:rPr>
      </w:pPr>
      <w:bookmarkStart w:id="4" w:name="_Toc4756"/>
      <w:r>
        <w:rPr>
          <w:rFonts w:hint="default"/>
          <w:lang w:val="en-US" w:eastAsia="zh-CN"/>
        </w:rPr>
        <w:t>禅道过程管理工具项目</w:t>
      </w:r>
      <w:r>
        <w:rPr>
          <w:rFonts w:hint="eastAsia"/>
          <w:lang w:val="en-US" w:eastAsia="zh-CN"/>
        </w:rPr>
        <w:t>二次开发</w:t>
      </w:r>
      <w:bookmarkEnd w:id="4"/>
    </w:p>
    <w:p w14:paraId="066C3E5B">
      <w:pPr>
        <w:pStyle w:val="30"/>
        <w:bidi w:val="0"/>
        <w:rPr>
          <w:rFonts w:hint="default"/>
          <w:lang w:val="en-US" w:eastAsia="zh-CN"/>
        </w:rPr>
      </w:pPr>
      <w:bookmarkStart w:id="5" w:name="_Toc5864"/>
      <w:r>
        <w:rPr>
          <w:rFonts w:hint="default"/>
          <w:lang w:val="en-US" w:eastAsia="zh-CN"/>
        </w:rPr>
        <w:t>研发</w:t>
      </w:r>
      <w:bookmarkEnd w:id="5"/>
      <w:r>
        <w:rPr>
          <w:rFonts w:hint="eastAsia"/>
          <w:lang w:val="en-US" w:eastAsia="zh-CN"/>
        </w:rPr>
        <w:t>成果</w:t>
      </w:r>
    </w:p>
    <w:p w14:paraId="44D6704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基于禅道系统定制开发的审批流引擎已稳定运行，实现了与公司管理制度完全匹配的电子审批流程。</w:t>
      </w:r>
    </w:p>
    <w:p w14:paraId="1CD0721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关键成效</w:t>
      </w:r>
    </w:p>
    <w:p w14:paraId="272C065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审批路径强制固化：成功将“变更管理”、“资源申请”等关键审批流程在系统中固化为唯一执行路径，确保了所有操作必经规定审批环节，从技术上杜绝了越权与违规操作。</w:t>
      </w:r>
    </w:p>
    <w:p w14:paraId="0D8BD02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流转过程自动驱动：实现了任务在提交、驳回后的自动流转，系统能精准推送待办事项至下一审批人，平均审批等待时间缩短约70%。</w:t>
      </w:r>
    </w:p>
    <w:p w14:paraId="38125F1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权限与视图精准管控：根据不同审批环节，精确设定了审批人的操作权限（如通过、驳回、加签）与数据视图，确保了审批过程的权责对等与信息安全。</w:t>
      </w:r>
    </w:p>
    <w:p w14:paraId="74776D2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全过程数据记录：系统完整记录了每一次审批的经办人、时间节点、审批意见与最终结论，形成了不可篡改的审计线索，实现了100%的审批记录可追溯。</w:t>
      </w:r>
    </w:p>
    <w:p w14:paraId="20E3D45A">
      <w:pPr>
        <w:pStyle w:val="30"/>
        <w:bidi w:val="0"/>
        <w:rPr>
          <w:rFonts w:hint="default"/>
          <w:lang w:val="en-US" w:eastAsia="zh-CN"/>
        </w:rPr>
      </w:pPr>
      <w:bookmarkStart w:id="6" w:name="_Toc12841"/>
      <w:r>
        <w:rPr>
          <w:rFonts w:hint="default"/>
          <w:lang w:val="en-US" w:eastAsia="zh-CN"/>
        </w:rPr>
        <w:t>成果描述</w:t>
      </w:r>
      <w:bookmarkEnd w:id="6"/>
    </w:p>
    <w:p w14:paraId="3C314550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工作流首页</w:t>
      </w:r>
    </w:p>
    <w:p w14:paraId="643CC24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工作流导航栏可进入审批流，可以分别设置审批流和审批角色，如图3-1所示。</w:t>
      </w:r>
    </w:p>
    <w:p w14:paraId="1FB45C17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首页导航栏</w:t>
      </w:r>
    </w:p>
    <w:p w14:paraId="275393EA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1407160"/>
            <wp:effectExtent l="0" t="0" r="6985" b="2540"/>
            <wp:docPr id="3" name="图片 3" descr="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首页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4F6F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p w14:paraId="7BE00B96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新增审批流</w:t>
      </w:r>
    </w:p>
    <w:p w14:paraId="6F21A68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进入到审批页面后，可以通过创建审批流按钮来新增审批流程，如图3-2所示。也可以修改已经创建的审批流。</w:t>
      </w:r>
    </w:p>
    <w:p w14:paraId="4BD4DECB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新增审批流</w:t>
      </w:r>
    </w:p>
    <w:p w14:paraId="45B0A626">
      <w:pPr>
        <w:pStyle w:val="29"/>
      </w:pPr>
      <w:r>
        <w:drawing>
          <wp:inline distT="0" distB="0" distL="114300" distR="114300">
            <wp:extent cx="4742815" cy="2957830"/>
            <wp:effectExtent l="0" t="0" r="635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350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在新增审批流时，必须要填写审批流名称，完善功能，使得可以绑定工作流，如图3-3所示</w:t>
      </w:r>
    </w:p>
    <w:p w14:paraId="7D808097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填写审批流信息</w:t>
      </w:r>
    </w:p>
    <w:p w14:paraId="1F97525F">
      <w:pPr>
        <w:pStyle w:val="29"/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4261485" cy="2675890"/>
            <wp:effectExtent l="0" t="0" r="5715" b="1016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148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935E7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审批流列表，可以查看更新增的审批流，如图3-4所示</w:t>
      </w:r>
    </w:p>
    <w:p w14:paraId="3F35416B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审批流列表</w:t>
      </w:r>
    </w:p>
    <w:p w14:paraId="2FD9F361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1076960"/>
            <wp:effectExtent l="0" t="0" r="8890" b="8890"/>
            <wp:docPr id="7" name="图片 7" descr="审批流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审批流列表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C516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设计审批流</w:t>
      </w:r>
    </w:p>
    <w:p w14:paraId="3324863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完善审批流节点，审批流各个节点支持自定义设计，如图3-5为抄送人设置</w:t>
      </w:r>
    </w:p>
    <w:p w14:paraId="3F4CCAE6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审批抄送人选择</w:t>
      </w:r>
    </w:p>
    <w:p w14:paraId="5F5F2963">
      <w:pPr>
        <w:pStyle w:val="29"/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2456180" cy="2209165"/>
            <wp:effectExtent l="0" t="0" r="1270" b="63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23882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p w14:paraId="18773165">
      <w:pPr>
        <w:pStyle w:val="29"/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5264150" cy="1304925"/>
            <wp:effectExtent l="0" t="0" r="12700" b="952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32C3E">
      <w:pPr>
        <w:pStyle w:val="29"/>
        <w:ind w:left="0" w:leftChars="0" w:right="0" w:rightChars="0" w:firstLine="0" w:firstLineChars="0"/>
        <w:jc w:val="center"/>
      </w:pPr>
    </w:p>
    <w:p w14:paraId="47A1CEAA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如果默认节点不符合现有流程，可以通过自定义节点对审批流程进行完善，如图3-6为审批节点设置</w:t>
      </w:r>
    </w:p>
    <w:p w14:paraId="6E3605D3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其中包括标题、审批类型、审批人、操作权限等基础信息</w:t>
      </w:r>
    </w:p>
    <w:p w14:paraId="7BD2ADA5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审批流节点设置</w:t>
      </w:r>
    </w:p>
    <w:p w14:paraId="2BC09D49">
      <w:pPr>
        <w:pStyle w:val="29"/>
        <w:bidi w:val="0"/>
      </w:pPr>
      <w:r>
        <w:drawing>
          <wp:inline distT="0" distB="0" distL="114300" distR="114300">
            <wp:extent cx="5265420" cy="1840865"/>
            <wp:effectExtent l="0" t="0" r="11430" b="698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1DAF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项目评审</w:t>
      </w:r>
    </w:p>
    <w:p w14:paraId="794DA290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完善项目评审流程，可以对项目节点单独进行评审，如图3-7所示</w:t>
      </w:r>
    </w:p>
    <w:p w14:paraId="666EA020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项目节点评审</w:t>
      </w:r>
    </w:p>
    <w:p w14:paraId="5AB67E96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555875"/>
            <wp:effectExtent l="0" t="0" r="6985" b="1587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BF53F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评审进度</w:t>
      </w:r>
    </w:p>
    <w:p w14:paraId="37D42F66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支持项目节点评审进度查看，如图3-8所示</w:t>
      </w:r>
    </w:p>
    <w:p w14:paraId="2A8F3C83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项目评审进度</w:t>
      </w:r>
    </w:p>
    <w:p w14:paraId="192C0709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4886325" cy="2009775"/>
            <wp:effectExtent l="0" t="0" r="9525" b="952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6C7C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75835" cy="2887345"/>
            <wp:effectExtent l="0" t="0" r="5715" b="8255"/>
            <wp:docPr id="14" name="图片 14" descr="审批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审批流程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04C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待评审列表可以用于查看所有待我审批的工作流，支持权限控制，如图3-9所示</w:t>
      </w:r>
    </w:p>
    <w:p w14:paraId="79D605FA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待评审列表</w:t>
      </w:r>
    </w:p>
    <w:p w14:paraId="76B4D590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631950"/>
            <wp:effectExtent l="0" t="0" r="7620" b="635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117FD">
      <w:pPr>
        <w:pStyle w:val="30"/>
        <w:bidi w:val="0"/>
        <w:rPr>
          <w:rFonts w:hint="default"/>
          <w:lang w:val="en-US" w:eastAsia="zh-CN"/>
        </w:rPr>
      </w:pPr>
      <w:bookmarkStart w:id="7" w:name="_Toc17118"/>
      <w:r>
        <w:rPr>
          <w:rFonts w:hint="default"/>
          <w:lang w:val="en-US" w:eastAsia="zh-CN"/>
        </w:rPr>
        <w:t>研发团队</w:t>
      </w:r>
      <w:bookmarkEnd w:id="7"/>
    </w:p>
    <w:p w14:paraId="109ED10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公司实际情况，为保质保量的完成运维工具研发工作，根据研发计划配置人员如下：研发部3人，其中研发部经理1名，开发工程师1名，需求分析师1名，质量部经理1名，运维部经理1名，各岗及时到位，为研发工作的有序开展提供了有力保障。运维工具研发团队人员配置信息如表3-1所示</w:t>
      </w:r>
    </w:p>
    <w:p w14:paraId="73E9231D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人员配置表</w:t>
      </w:r>
    </w:p>
    <w:tbl>
      <w:tblPr>
        <w:tblStyle w:val="21"/>
        <w:tblW w:w="8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1675"/>
        <w:gridCol w:w="5280"/>
      </w:tblGrid>
      <w:tr w14:paraId="4FFE0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7C7EB64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职位名称</w:t>
            </w:r>
          </w:p>
        </w:tc>
        <w:tc>
          <w:tcPr>
            <w:tcW w:w="1675" w:type="dxa"/>
          </w:tcPr>
          <w:p w14:paraId="02A8243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5280" w:type="dxa"/>
          </w:tcPr>
          <w:p w14:paraId="56E97CEF">
            <w:pPr>
              <w:pStyle w:val="29"/>
              <w:widowControl w:val="0"/>
              <w:ind w:right="0" w:right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职责描述</w:t>
            </w:r>
          </w:p>
        </w:tc>
      </w:tr>
      <w:tr w14:paraId="6E408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3AF1819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1675" w:type="dxa"/>
          </w:tcPr>
          <w:p w14:paraId="5EB9927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5280" w:type="dxa"/>
          </w:tcPr>
          <w:p w14:paraId="698E94A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总体规划研发进度</w:t>
            </w:r>
          </w:p>
        </w:tc>
      </w:tr>
      <w:tr w14:paraId="7DFE4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190E028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675" w:type="dxa"/>
          </w:tcPr>
          <w:p w14:paraId="4350CA0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5280" w:type="dxa"/>
          </w:tcPr>
          <w:p w14:paraId="364991F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编码、单元测试</w:t>
            </w:r>
          </w:p>
        </w:tc>
      </w:tr>
      <w:tr w14:paraId="5147D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4DAECDE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675" w:type="dxa"/>
          </w:tcPr>
          <w:p w14:paraId="4D394F8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5280" w:type="dxa"/>
          </w:tcPr>
          <w:p w14:paraId="670DF75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总体规划项目进度</w:t>
            </w:r>
          </w:p>
        </w:tc>
      </w:tr>
      <w:tr w14:paraId="3783C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7BF7BC2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675" w:type="dxa"/>
          </w:tcPr>
          <w:p w14:paraId="2C2F5398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5280" w:type="dxa"/>
          </w:tcPr>
          <w:p w14:paraId="623B07C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跟进研发质量</w:t>
            </w:r>
          </w:p>
        </w:tc>
      </w:tr>
      <w:tr w14:paraId="145A3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 w14:paraId="5A4759F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需求分析师</w:t>
            </w:r>
          </w:p>
        </w:tc>
        <w:tc>
          <w:tcPr>
            <w:tcW w:w="1675" w:type="dxa"/>
          </w:tcPr>
          <w:p w14:paraId="14C026B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</w:t>
            </w:r>
          </w:p>
        </w:tc>
        <w:tc>
          <w:tcPr>
            <w:tcW w:w="5280" w:type="dxa"/>
          </w:tcPr>
          <w:p w14:paraId="68B1452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收集、分析各运维部门需求，并生成需求报告</w:t>
            </w:r>
          </w:p>
        </w:tc>
      </w:tr>
    </w:tbl>
    <w:p w14:paraId="7FDB8D3F">
      <w:pPr>
        <w:pStyle w:val="30"/>
        <w:bidi w:val="0"/>
        <w:rPr>
          <w:rFonts w:hint="default"/>
          <w:lang w:val="en-US" w:eastAsia="zh-CN"/>
        </w:rPr>
      </w:pPr>
      <w:bookmarkStart w:id="8" w:name="_Toc6084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环境</w:t>
      </w:r>
      <w:bookmarkEnd w:id="8"/>
    </w:p>
    <w:p w14:paraId="5A4225A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研发所需环境如表3-2所示</w:t>
      </w:r>
    </w:p>
    <w:p w14:paraId="0B933CE4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根据研发计划，按时、到位完成开发环境与生产环境部署。各环境完成情况如表3-2所示。</w:t>
      </w:r>
    </w:p>
    <w:p w14:paraId="1A536685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环境需求到位表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024"/>
        <w:gridCol w:w="1650"/>
        <w:gridCol w:w="2037"/>
        <w:gridCol w:w="2037"/>
      </w:tblGrid>
      <w:tr w14:paraId="61FEA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 w14:paraId="5E70379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资源名称</w:t>
            </w:r>
          </w:p>
        </w:tc>
        <w:tc>
          <w:tcPr>
            <w:tcW w:w="1024" w:type="dxa"/>
          </w:tcPr>
          <w:p w14:paraId="7D068FC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级别</w:t>
            </w:r>
          </w:p>
        </w:tc>
        <w:tc>
          <w:tcPr>
            <w:tcW w:w="1650" w:type="dxa"/>
          </w:tcPr>
          <w:p w14:paraId="73D0E08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详细配置</w:t>
            </w:r>
          </w:p>
        </w:tc>
        <w:tc>
          <w:tcPr>
            <w:tcW w:w="2037" w:type="dxa"/>
          </w:tcPr>
          <w:p w14:paraId="1D34F6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获取方式</w:t>
            </w:r>
          </w:p>
        </w:tc>
        <w:tc>
          <w:tcPr>
            <w:tcW w:w="2037" w:type="dxa"/>
          </w:tcPr>
          <w:p w14:paraId="456438F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完成时间</w:t>
            </w:r>
          </w:p>
        </w:tc>
      </w:tr>
      <w:tr w14:paraId="34462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 w14:paraId="5D2FDB3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开发环境</w:t>
            </w:r>
          </w:p>
        </w:tc>
        <w:tc>
          <w:tcPr>
            <w:tcW w:w="1024" w:type="dxa"/>
          </w:tcPr>
          <w:p w14:paraId="548AC3F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 w14:paraId="37790EE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PHP+MySQL</w:t>
            </w:r>
          </w:p>
        </w:tc>
        <w:tc>
          <w:tcPr>
            <w:tcW w:w="2037" w:type="dxa"/>
          </w:tcPr>
          <w:p w14:paraId="50EA7FB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开发服务器部署</w:t>
            </w:r>
          </w:p>
        </w:tc>
        <w:tc>
          <w:tcPr>
            <w:tcW w:w="2037" w:type="dxa"/>
          </w:tcPr>
          <w:p w14:paraId="7A9396D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</w:tr>
      <w:tr w14:paraId="34A56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 w14:paraId="6C6C9FF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</w:t>
            </w:r>
          </w:p>
        </w:tc>
        <w:tc>
          <w:tcPr>
            <w:tcW w:w="1024" w:type="dxa"/>
          </w:tcPr>
          <w:p w14:paraId="4CD02BD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 w14:paraId="058233C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云服务器</w:t>
            </w:r>
          </w:p>
        </w:tc>
        <w:tc>
          <w:tcPr>
            <w:tcW w:w="2037" w:type="dxa"/>
          </w:tcPr>
          <w:p w14:paraId="77D80D0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购买云服务器</w:t>
            </w:r>
          </w:p>
        </w:tc>
        <w:tc>
          <w:tcPr>
            <w:tcW w:w="2037" w:type="dxa"/>
          </w:tcPr>
          <w:p w14:paraId="3ED8A12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</w:tr>
      <w:tr w14:paraId="7072D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71" w:type="dxa"/>
          </w:tcPr>
          <w:p w14:paraId="532B5A0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版本控制工具</w:t>
            </w:r>
          </w:p>
        </w:tc>
        <w:tc>
          <w:tcPr>
            <w:tcW w:w="1024" w:type="dxa"/>
          </w:tcPr>
          <w:p w14:paraId="0E892ED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650" w:type="dxa"/>
          </w:tcPr>
          <w:p w14:paraId="5138161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Github</w:t>
            </w:r>
          </w:p>
        </w:tc>
        <w:tc>
          <w:tcPr>
            <w:tcW w:w="2037" w:type="dxa"/>
          </w:tcPr>
          <w:p w14:paraId="07823E0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开源，可用</w:t>
            </w:r>
          </w:p>
        </w:tc>
        <w:tc>
          <w:tcPr>
            <w:tcW w:w="2037" w:type="dxa"/>
          </w:tcPr>
          <w:p w14:paraId="1010EF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开源、可用</w:t>
            </w:r>
          </w:p>
        </w:tc>
      </w:tr>
    </w:tbl>
    <w:p w14:paraId="32BCF516">
      <w:pPr>
        <w:pStyle w:val="30"/>
        <w:bidi w:val="0"/>
        <w:rPr>
          <w:rFonts w:hint="default"/>
          <w:lang w:val="en-US" w:eastAsia="zh-CN"/>
        </w:rPr>
      </w:pPr>
      <w:bookmarkStart w:id="9" w:name="_Toc14515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进度</w:t>
      </w:r>
      <w:bookmarkEnd w:id="9"/>
    </w:p>
    <w:p w14:paraId="706B9B1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研发所需环境如表3-3所示</w:t>
      </w:r>
    </w:p>
    <w:p w14:paraId="34F4FB26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为更好更快的完成运维工具开发工作，依据运维工具研发管理制度对研发过程进行拆解，使得研发工作更加稳定有序。研发进度表如3-3所示</w:t>
      </w:r>
    </w:p>
    <w:p w14:paraId="57F2B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FF48074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研发进度表</w:t>
      </w:r>
    </w:p>
    <w:tbl>
      <w:tblPr>
        <w:tblStyle w:val="21"/>
        <w:tblW w:w="76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271"/>
        <w:gridCol w:w="2912"/>
        <w:gridCol w:w="2059"/>
      </w:tblGrid>
      <w:tr w14:paraId="17C17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100E8F0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研发阶段</w:t>
            </w:r>
          </w:p>
        </w:tc>
        <w:tc>
          <w:tcPr>
            <w:tcW w:w="1271" w:type="dxa"/>
          </w:tcPr>
          <w:p w14:paraId="137D16E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2912" w:type="dxa"/>
          </w:tcPr>
          <w:p w14:paraId="56D475D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2059" w:type="dxa"/>
          </w:tcPr>
          <w:p w14:paraId="63390F5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完成情况</w:t>
            </w:r>
          </w:p>
        </w:tc>
      </w:tr>
      <w:tr w14:paraId="3C934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0A5E16E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流程模型设计</w:t>
            </w:r>
          </w:p>
        </w:tc>
        <w:tc>
          <w:tcPr>
            <w:tcW w:w="1271" w:type="dxa"/>
          </w:tcPr>
          <w:p w14:paraId="082004A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  <w:tc>
          <w:tcPr>
            <w:tcW w:w="2912" w:type="dxa"/>
          </w:tcPr>
          <w:p w14:paraId="2D24DE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收集运维相关部门的需求，进行分析，生成工作流业务模型，状态图、</w:t>
            </w:r>
          </w:p>
        </w:tc>
        <w:tc>
          <w:tcPr>
            <w:tcW w:w="2059" w:type="dxa"/>
            <w:vAlign w:val="center"/>
          </w:tcPr>
          <w:p w14:paraId="5647BA2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89A8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6909730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开发、配置</w:t>
            </w:r>
          </w:p>
        </w:tc>
        <w:tc>
          <w:tcPr>
            <w:tcW w:w="1271" w:type="dxa"/>
          </w:tcPr>
          <w:p w14:paraId="63D3909D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2025.5-7</w:t>
            </w:r>
          </w:p>
        </w:tc>
        <w:tc>
          <w:tcPr>
            <w:tcW w:w="2912" w:type="dxa"/>
          </w:tcPr>
          <w:p w14:paraId="68AC819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开发自定义工作流</w:t>
            </w:r>
          </w:p>
        </w:tc>
        <w:tc>
          <w:tcPr>
            <w:tcW w:w="2059" w:type="dxa"/>
            <w:vAlign w:val="center"/>
          </w:tcPr>
          <w:p w14:paraId="1CE7D50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715DC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17ECACE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测试、优化</w:t>
            </w:r>
          </w:p>
        </w:tc>
        <w:tc>
          <w:tcPr>
            <w:tcW w:w="1271" w:type="dxa"/>
          </w:tcPr>
          <w:p w14:paraId="79332970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2912" w:type="dxa"/>
          </w:tcPr>
          <w:p w14:paraId="1FE4918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进行单元、集成测试，修改BUG</w:t>
            </w:r>
          </w:p>
        </w:tc>
        <w:tc>
          <w:tcPr>
            <w:tcW w:w="2059" w:type="dxa"/>
            <w:vAlign w:val="center"/>
          </w:tcPr>
          <w:p w14:paraId="6DEF2596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10D2D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473C03B2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试运行</w:t>
            </w:r>
          </w:p>
        </w:tc>
        <w:tc>
          <w:tcPr>
            <w:tcW w:w="1271" w:type="dxa"/>
          </w:tcPr>
          <w:p w14:paraId="7F63088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2912" w:type="dxa"/>
          </w:tcPr>
          <w:p w14:paraId="6CCC156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优先在运维部试运行，监测使用效果，提出改进意见</w:t>
            </w:r>
          </w:p>
        </w:tc>
        <w:tc>
          <w:tcPr>
            <w:tcW w:w="2059" w:type="dxa"/>
            <w:vAlign w:val="center"/>
          </w:tcPr>
          <w:p w14:paraId="4C61695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1A452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</w:tcPr>
          <w:p w14:paraId="5DC8B865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正式运行</w:t>
            </w:r>
          </w:p>
        </w:tc>
        <w:tc>
          <w:tcPr>
            <w:tcW w:w="1271" w:type="dxa"/>
          </w:tcPr>
          <w:p w14:paraId="3C67F631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2025.9</w:t>
            </w:r>
          </w:p>
        </w:tc>
        <w:tc>
          <w:tcPr>
            <w:tcW w:w="2912" w:type="dxa"/>
          </w:tcPr>
          <w:p w14:paraId="4DDDF4A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研发部对系统进行完售后正式上线</w:t>
            </w:r>
          </w:p>
        </w:tc>
        <w:tc>
          <w:tcPr>
            <w:tcW w:w="2059" w:type="dxa"/>
            <w:vAlign w:val="center"/>
          </w:tcPr>
          <w:p w14:paraId="7311357E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1A9433CE">
      <w:pPr>
        <w:pStyle w:val="28"/>
        <w:bidi w:val="0"/>
        <w:rPr>
          <w:rFonts w:hint="default"/>
          <w:lang w:val="en-US" w:eastAsia="zh-CN"/>
        </w:rPr>
      </w:pPr>
      <w:bookmarkStart w:id="10" w:name="_Toc6390"/>
      <w:r>
        <w:rPr>
          <w:rFonts w:hint="eastAsia"/>
          <w:lang w:val="en-US" w:eastAsia="zh-CN"/>
        </w:rPr>
        <w:t>运维服务手册研发</w:t>
      </w:r>
      <w:bookmarkEnd w:id="10"/>
      <w:r>
        <w:rPr>
          <w:rFonts w:hint="eastAsia"/>
          <w:lang w:val="en-US" w:eastAsia="zh-CN"/>
        </w:rPr>
        <w:t>成果</w:t>
      </w:r>
    </w:p>
    <w:p w14:paraId="53ACF9F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按照运维</w:t>
      </w:r>
    </w:p>
    <w:p w14:paraId="2A6C970A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运维手册研发表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3266"/>
        <w:gridCol w:w="1665"/>
        <w:gridCol w:w="1665"/>
      </w:tblGrid>
      <w:tr w14:paraId="24502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1DD6559F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266" w:type="dxa"/>
          </w:tcPr>
          <w:p w14:paraId="0115FF23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手册名称</w:t>
            </w:r>
          </w:p>
        </w:tc>
        <w:tc>
          <w:tcPr>
            <w:tcW w:w="1665" w:type="dxa"/>
          </w:tcPr>
          <w:p w14:paraId="2AF7971D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1665" w:type="dxa"/>
            <w:shd w:val="clear"/>
            <w:vAlign w:val="top"/>
          </w:tcPr>
          <w:p w14:paraId="3F17E377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b/>
                <w:bCs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完成情况</w:t>
            </w:r>
          </w:p>
        </w:tc>
      </w:tr>
      <w:tr w14:paraId="10A3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560B8867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 w14:paraId="3E97B195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Docker安装nginx</w:t>
            </w:r>
          </w:p>
        </w:tc>
        <w:tc>
          <w:tcPr>
            <w:tcW w:w="1665" w:type="dxa"/>
          </w:tcPr>
          <w:p w14:paraId="128E06D4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  <w:tc>
          <w:tcPr>
            <w:tcW w:w="1665" w:type="dxa"/>
            <w:shd w:val="clear"/>
            <w:vAlign w:val="center"/>
          </w:tcPr>
          <w:p w14:paraId="3FB8F4BA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A40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25C5AA71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 w14:paraId="211EACA6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Jenkins构建java项目（分布式）</w:t>
            </w:r>
          </w:p>
        </w:tc>
        <w:tc>
          <w:tcPr>
            <w:tcW w:w="1665" w:type="dxa"/>
          </w:tcPr>
          <w:p w14:paraId="3BC85A86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2025.7</w:t>
            </w:r>
          </w:p>
        </w:tc>
        <w:tc>
          <w:tcPr>
            <w:tcW w:w="1665" w:type="dxa"/>
            <w:shd w:val="clear"/>
            <w:vAlign w:val="center"/>
          </w:tcPr>
          <w:p w14:paraId="1DDFE43C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 w14:paraId="2390D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4" w:type="dxa"/>
          </w:tcPr>
          <w:p w14:paraId="26090C29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266" w:type="dxa"/>
          </w:tcPr>
          <w:p w14:paraId="5C85358E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Jenkins构建前端项目（分布式）</w:t>
            </w:r>
          </w:p>
        </w:tc>
        <w:tc>
          <w:tcPr>
            <w:tcW w:w="1665" w:type="dxa"/>
          </w:tcPr>
          <w:p w14:paraId="5DA055D9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1665" w:type="dxa"/>
            <w:shd w:val="clear"/>
            <w:vAlign w:val="center"/>
          </w:tcPr>
          <w:p w14:paraId="763C954F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 w14:paraId="2ED61F27">
      <w:pPr>
        <w:pStyle w:val="29"/>
        <w:bidi w:val="0"/>
        <w:rPr>
          <w:rFonts w:hint="eastAsia"/>
          <w:lang w:val="en-US" w:eastAsia="zh-CN"/>
        </w:rPr>
      </w:pPr>
      <w:bookmarkStart w:id="11" w:name="_Toc2345"/>
      <w:r>
        <w:rPr>
          <w:rFonts w:hint="eastAsia"/>
          <w:lang w:val="en-US" w:eastAsia="zh-CN"/>
        </w:rPr>
        <w:t>研发手册如图所示：</w:t>
      </w:r>
    </w:p>
    <w:p w14:paraId="6F5698BB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</w:t>
      </w:r>
    </w:p>
    <w:p w14:paraId="58EAC2A5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574675"/>
            <wp:effectExtent l="0" t="0" r="6985" b="1587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89DF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研发经费</w:t>
      </w:r>
      <w:bookmarkEnd w:id="11"/>
    </w:p>
    <w:p w14:paraId="65D0B05C">
      <w:pPr>
        <w:pStyle w:val="29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本次研发包含工作流定制开发与运维手册研发两部分，预算总额为</w:t>
      </w:r>
      <w:r>
        <w:rPr>
          <w:rFonts w:hint="eastAsia"/>
          <w:lang w:val="en-US" w:eastAsia="zh-CN"/>
        </w:rPr>
        <w:t>20.3</w:t>
      </w:r>
      <w:r>
        <w:rPr>
          <w:rFonts w:hint="default"/>
          <w:lang w:val="en-US" w:eastAsia="zh-CN"/>
        </w:rPr>
        <w:t>万元。</w:t>
      </w:r>
      <w:r>
        <w:rPr>
          <w:rFonts w:hint="eastAsia"/>
          <w:lang w:val="en-US" w:eastAsia="zh-CN"/>
        </w:rPr>
        <w:t>具体使用情况如表5-1所示。</w:t>
      </w:r>
    </w:p>
    <w:p w14:paraId="6F62D2F5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项目经费预算表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 w14:paraId="142F2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18C02FE6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 w14:paraId="5FCBD608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开支项目</w:t>
            </w:r>
          </w:p>
        </w:tc>
        <w:tc>
          <w:tcPr>
            <w:tcW w:w="2841" w:type="dxa"/>
          </w:tcPr>
          <w:p w14:paraId="6FBA8FC1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金额（万元）</w:t>
            </w:r>
          </w:p>
        </w:tc>
      </w:tr>
      <w:tr w14:paraId="3FE21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4258BA2F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6FCD1F9C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人力资源成本</w:t>
            </w:r>
          </w:p>
        </w:tc>
        <w:tc>
          <w:tcPr>
            <w:tcW w:w="2841" w:type="dxa"/>
          </w:tcPr>
          <w:p w14:paraId="45E2C733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 w14:paraId="67D38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50B50325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7AC84121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测试与授权费用</w:t>
            </w:r>
          </w:p>
        </w:tc>
        <w:tc>
          <w:tcPr>
            <w:tcW w:w="2841" w:type="dxa"/>
          </w:tcPr>
          <w:p w14:paraId="75C8487F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  <w:tr w14:paraId="3DC53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4060C4FF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053CEEAB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手册研发成本</w:t>
            </w:r>
          </w:p>
        </w:tc>
        <w:tc>
          <w:tcPr>
            <w:tcW w:w="2841" w:type="dxa"/>
          </w:tcPr>
          <w:p w14:paraId="229B4D87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</w:t>
            </w:r>
          </w:p>
        </w:tc>
      </w:tr>
      <w:tr w14:paraId="4574B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 w14:paraId="76C81B30">
            <w:pPr>
              <w:pStyle w:val="29"/>
              <w:widowControl w:val="0"/>
              <w:numPr>
                <w:ilvl w:val="0"/>
                <w:numId w:val="3"/>
              </w:numPr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 w14:paraId="15073210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总计</w:t>
            </w:r>
          </w:p>
        </w:tc>
        <w:tc>
          <w:tcPr>
            <w:tcW w:w="2841" w:type="dxa"/>
          </w:tcPr>
          <w:p w14:paraId="73270B4B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20.3</w:t>
            </w:r>
          </w:p>
        </w:tc>
      </w:tr>
    </w:tbl>
    <w:p w14:paraId="08ABEB93">
      <w:pPr>
        <w:pStyle w:val="28"/>
        <w:bidi w:val="0"/>
        <w:rPr>
          <w:rFonts w:hint="default"/>
          <w:lang w:val="en-US" w:eastAsia="zh-CN"/>
        </w:rPr>
      </w:pPr>
      <w:bookmarkStart w:id="12" w:name="_Toc14087"/>
      <w:r>
        <w:rPr>
          <w:rFonts w:hint="eastAsia"/>
          <w:lang w:val="en-US" w:eastAsia="zh-CN"/>
        </w:rPr>
        <w:t>新技术研发</w:t>
      </w:r>
      <w:bookmarkEnd w:id="12"/>
    </w:p>
    <w:p w14:paraId="19ABE56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截至目前，新技术预研工作已按计划完成第一阶段的核心任务，成功搭建了AIOps原型演示环境，并在智能告警收敛这一关键能力上实现了概念验证，验证了其与现有禅道流程平台集成的技术可行性。</w:t>
      </w:r>
    </w:p>
    <w:p w14:paraId="3A13DC3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告警收敛引擎：开发并验证了告警关联分析算法。该引擎能够将监控系统上报的海量、重复的告警事件，根据业务拓扑、时间窗口和故障传播路径进行智能聚合，成功将模拟的告警风暴事件数量压缩了85%以上，精准定位到少数几个根源事件。</w:t>
      </w:r>
      <w:bookmarkStart w:id="13" w:name="_GoBack"/>
      <w:bookmarkEnd w:id="13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EFE97EC"/>
    <w:multiLevelType w:val="singleLevel"/>
    <w:tmpl w:val="EEFE97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9320EFE"/>
    <w:multiLevelType w:val="singleLevel"/>
    <w:tmpl w:val="29320E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0B87A8B"/>
    <w:rsid w:val="0104303E"/>
    <w:rsid w:val="016B54DB"/>
    <w:rsid w:val="018A1888"/>
    <w:rsid w:val="01B36BD0"/>
    <w:rsid w:val="01B85F94"/>
    <w:rsid w:val="01E07299"/>
    <w:rsid w:val="0211124F"/>
    <w:rsid w:val="029C58B6"/>
    <w:rsid w:val="02CE3596"/>
    <w:rsid w:val="02EA4873"/>
    <w:rsid w:val="0337412D"/>
    <w:rsid w:val="03800D34"/>
    <w:rsid w:val="03964C18"/>
    <w:rsid w:val="03FF434E"/>
    <w:rsid w:val="040604A9"/>
    <w:rsid w:val="056401E1"/>
    <w:rsid w:val="05980692"/>
    <w:rsid w:val="05C018BB"/>
    <w:rsid w:val="05E727D1"/>
    <w:rsid w:val="06A74829"/>
    <w:rsid w:val="070C0C2D"/>
    <w:rsid w:val="07102341"/>
    <w:rsid w:val="072F4F4B"/>
    <w:rsid w:val="073D05DE"/>
    <w:rsid w:val="07660A33"/>
    <w:rsid w:val="080D4B60"/>
    <w:rsid w:val="08335203"/>
    <w:rsid w:val="0946657C"/>
    <w:rsid w:val="09652EA6"/>
    <w:rsid w:val="09975029"/>
    <w:rsid w:val="09D65B51"/>
    <w:rsid w:val="09F2400E"/>
    <w:rsid w:val="09FC6C3A"/>
    <w:rsid w:val="0A3E36F7"/>
    <w:rsid w:val="0ABC4D71"/>
    <w:rsid w:val="0C3B7C2D"/>
    <w:rsid w:val="0C7E427E"/>
    <w:rsid w:val="0CF12BAD"/>
    <w:rsid w:val="0D3925D3"/>
    <w:rsid w:val="0DF34E4E"/>
    <w:rsid w:val="0E760714"/>
    <w:rsid w:val="0F4F57A4"/>
    <w:rsid w:val="0F707EAE"/>
    <w:rsid w:val="0FC14BAE"/>
    <w:rsid w:val="0FD115EF"/>
    <w:rsid w:val="10BC4184"/>
    <w:rsid w:val="11643A43"/>
    <w:rsid w:val="119241CD"/>
    <w:rsid w:val="11C12C43"/>
    <w:rsid w:val="12462F6D"/>
    <w:rsid w:val="127C6B6A"/>
    <w:rsid w:val="130628D8"/>
    <w:rsid w:val="131B2827"/>
    <w:rsid w:val="139879D4"/>
    <w:rsid w:val="13D604FC"/>
    <w:rsid w:val="13F825E7"/>
    <w:rsid w:val="14B42767"/>
    <w:rsid w:val="14E131B8"/>
    <w:rsid w:val="15582A02"/>
    <w:rsid w:val="155B6F0B"/>
    <w:rsid w:val="15CC7E09"/>
    <w:rsid w:val="15EC2259"/>
    <w:rsid w:val="161231BB"/>
    <w:rsid w:val="165C67D2"/>
    <w:rsid w:val="16842491"/>
    <w:rsid w:val="168D7F33"/>
    <w:rsid w:val="16B0772A"/>
    <w:rsid w:val="170D06D9"/>
    <w:rsid w:val="17103D25"/>
    <w:rsid w:val="175B58E8"/>
    <w:rsid w:val="17710C68"/>
    <w:rsid w:val="17B42F96"/>
    <w:rsid w:val="17BE19D3"/>
    <w:rsid w:val="17CE7E68"/>
    <w:rsid w:val="17DF25E3"/>
    <w:rsid w:val="17E01949"/>
    <w:rsid w:val="184B14B9"/>
    <w:rsid w:val="18846779"/>
    <w:rsid w:val="18F465E3"/>
    <w:rsid w:val="19E020D4"/>
    <w:rsid w:val="19E93022"/>
    <w:rsid w:val="1A9923D9"/>
    <w:rsid w:val="1B75684C"/>
    <w:rsid w:val="1BC709D8"/>
    <w:rsid w:val="1C5B67A3"/>
    <w:rsid w:val="1CAC44F0"/>
    <w:rsid w:val="1D796AC8"/>
    <w:rsid w:val="1D997E65"/>
    <w:rsid w:val="1E472722"/>
    <w:rsid w:val="1E692834"/>
    <w:rsid w:val="1EFD1033"/>
    <w:rsid w:val="1F7E03C6"/>
    <w:rsid w:val="1FCB1131"/>
    <w:rsid w:val="208B60BF"/>
    <w:rsid w:val="20A57BD4"/>
    <w:rsid w:val="20D91840"/>
    <w:rsid w:val="215C6FE4"/>
    <w:rsid w:val="217B1461"/>
    <w:rsid w:val="21CC3D6A"/>
    <w:rsid w:val="21F229A5"/>
    <w:rsid w:val="223C1E72"/>
    <w:rsid w:val="23827D58"/>
    <w:rsid w:val="23A26E72"/>
    <w:rsid w:val="23DD436C"/>
    <w:rsid w:val="23FD59BD"/>
    <w:rsid w:val="24BB1774"/>
    <w:rsid w:val="254E083A"/>
    <w:rsid w:val="25650E6F"/>
    <w:rsid w:val="25D23159"/>
    <w:rsid w:val="26C427F2"/>
    <w:rsid w:val="275B1E95"/>
    <w:rsid w:val="276C31F9"/>
    <w:rsid w:val="27BB7CDD"/>
    <w:rsid w:val="286839C1"/>
    <w:rsid w:val="288B5901"/>
    <w:rsid w:val="2908648D"/>
    <w:rsid w:val="29310257"/>
    <w:rsid w:val="294F2DD3"/>
    <w:rsid w:val="2975663E"/>
    <w:rsid w:val="29860268"/>
    <w:rsid w:val="2A051332"/>
    <w:rsid w:val="2A247DBB"/>
    <w:rsid w:val="2A795BE3"/>
    <w:rsid w:val="2A8B6C6D"/>
    <w:rsid w:val="2A9F5694"/>
    <w:rsid w:val="2AF27EBA"/>
    <w:rsid w:val="2B595843"/>
    <w:rsid w:val="2B612949"/>
    <w:rsid w:val="2BEE68D3"/>
    <w:rsid w:val="2C02412C"/>
    <w:rsid w:val="2C3A38C6"/>
    <w:rsid w:val="2C7843EE"/>
    <w:rsid w:val="2CB633C0"/>
    <w:rsid w:val="2D744BB6"/>
    <w:rsid w:val="2DB221DE"/>
    <w:rsid w:val="2DE03FF9"/>
    <w:rsid w:val="2E500F2E"/>
    <w:rsid w:val="2E695145"/>
    <w:rsid w:val="2EDC2A13"/>
    <w:rsid w:val="2F041F69"/>
    <w:rsid w:val="2F2D326E"/>
    <w:rsid w:val="2FC11C09"/>
    <w:rsid w:val="2FD162F0"/>
    <w:rsid w:val="30DC0C55"/>
    <w:rsid w:val="30E87D95"/>
    <w:rsid w:val="32674CE9"/>
    <w:rsid w:val="32690A61"/>
    <w:rsid w:val="328626B9"/>
    <w:rsid w:val="333746BC"/>
    <w:rsid w:val="333C7F24"/>
    <w:rsid w:val="337376BE"/>
    <w:rsid w:val="34270BD4"/>
    <w:rsid w:val="345B6AD0"/>
    <w:rsid w:val="346C0F8D"/>
    <w:rsid w:val="346F02AF"/>
    <w:rsid w:val="346F60D7"/>
    <w:rsid w:val="349618B6"/>
    <w:rsid w:val="34CE2DFE"/>
    <w:rsid w:val="350D601C"/>
    <w:rsid w:val="35DE67BA"/>
    <w:rsid w:val="35E86443"/>
    <w:rsid w:val="363650FE"/>
    <w:rsid w:val="364A51B9"/>
    <w:rsid w:val="36883480"/>
    <w:rsid w:val="36914A2B"/>
    <w:rsid w:val="3699743B"/>
    <w:rsid w:val="375F2433"/>
    <w:rsid w:val="37704640"/>
    <w:rsid w:val="37971BCD"/>
    <w:rsid w:val="37DF17C6"/>
    <w:rsid w:val="37E666B0"/>
    <w:rsid w:val="386F2D00"/>
    <w:rsid w:val="38F90665"/>
    <w:rsid w:val="3914549F"/>
    <w:rsid w:val="39225E0E"/>
    <w:rsid w:val="39673821"/>
    <w:rsid w:val="3AAA34E9"/>
    <w:rsid w:val="3BF07775"/>
    <w:rsid w:val="3C035BC2"/>
    <w:rsid w:val="3C265C15"/>
    <w:rsid w:val="3CE31410"/>
    <w:rsid w:val="3CF4361D"/>
    <w:rsid w:val="3D2A34E3"/>
    <w:rsid w:val="3D5777E0"/>
    <w:rsid w:val="3D5F4115"/>
    <w:rsid w:val="3DDD67A7"/>
    <w:rsid w:val="3DE11DF4"/>
    <w:rsid w:val="3E287A22"/>
    <w:rsid w:val="3E3D2DA2"/>
    <w:rsid w:val="3E5A3954"/>
    <w:rsid w:val="3EA3282A"/>
    <w:rsid w:val="3EC2309F"/>
    <w:rsid w:val="3F2D2E17"/>
    <w:rsid w:val="3F5035C0"/>
    <w:rsid w:val="403D352D"/>
    <w:rsid w:val="40610FCA"/>
    <w:rsid w:val="40646D0C"/>
    <w:rsid w:val="40873B7A"/>
    <w:rsid w:val="40B11D0C"/>
    <w:rsid w:val="40E514B0"/>
    <w:rsid w:val="41132720"/>
    <w:rsid w:val="41DA54D8"/>
    <w:rsid w:val="42240501"/>
    <w:rsid w:val="42537038"/>
    <w:rsid w:val="426164FC"/>
    <w:rsid w:val="42A10004"/>
    <w:rsid w:val="42D33CD5"/>
    <w:rsid w:val="43223C0F"/>
    <w:rsid w:val="433B053C"/>
    <w:rsid w:val="4368266F"/>
    <w:rsid w:val="43996CCD"/>
    <w:rsid w:val="43B65AD0"/>
    <w:rsid w:val="43B9111D"/>
    <w:rsid w:val="44315157"/>
    <w:rsid w:val="45EE5265"/>
    <w:rsid w:val="46BF2EEE"/>
    <w:rsid w:val="472B0583"/>
    <w:rsid w:val="478E083A"/>
    <w:rsid w:val="47BB1907"/>
    <w:rsid w:val="48164D90"/>
    <w:rsid w:val="481C70CD"/>
    <w:rsid w:val="481F2B47"/>
    <w:rsid w:val="484F2050"/>
    <w:rsid w:val="48FA020D"/>
    <w:rsid w:val="493059DD"/>
    <w:rsid w:val="49B33C44"/>
    <w:rsid w:val="49CC1B61"/>
    <w:rsid w:val="4A6A4F1F"/>
    <w:rsid w:val="4A987CDE"/>
    <w:rsid w:val="4AD54A8E"/>
    <w:rsid w:val="4AF13892"/>
    <w:rsid w:val="4B125CE2"/>
    <w:rsid w:val="4B9E1324"/>
    <w:rsid w:val="4BFB76A0"/>
    <w:rsid w:val="4C8E644E"/>
    <w:rsid w:val="4C9269AF"/>
    <w:rsid w:val="4D1711C1"/>
    <w:rsid w:val="4D2E0486"/>
    <w:rsid w:val="4D5C3245"/>
    <w:rsid w:val="4D6245D3"/>
    <w:rsid w:val="4E0B149B"/>
    <w:rsid w:val="4F1F277C"/>
    <w:rsid w:val="4F6F1974"/>
    <w:rsid w:val="503F29AA"/>
    <w:rsid w:val="50BE0A71"/>
    <w:rsid w:val="511C5981"/>
    <w:rsid w:val="51E952C3"/>
    <w:rsid w:val="51F0261E"/>
    <w:rsid w:val="520E24F1"/>
    <w:rsid w:val="521C11F4"/>
    <w:rsid w:val="52344790"/>
    <w:rsid w:val="527821A3"/>
    <w:rsid w:val="52C305DB"/>
    <w:rsid w:val="52FB05DD"/>
    <w:rsid w:val="534A1D91"/>
    <w:rsid w:val="54723E7D"/>
    <w:rsid w:val="5486504B"/>
    <w:rsid w:val="54BB6005"/>
    <w:rsid w:val="54CB7E3C"/>
    <w:rsid w:val="5632548A"/>
    <w:rsid w:val="56BF65F2"/>
    <w:rsid w:val="56E32B00"/>
    <w:rsid w:val="570F30D6"/>
    <w:rsid w:val="58340B4B"/>
    <w:rsid w:val="58675193"/>
    <w:rsid w:val="58F24FC1"/>
    <w:rsid w:val="5967369D"/>
    <w:rsid w:val="598A738C"/>
    <w:rsid w:val="5A6610C0"/>
    <w:rsid w:val="5B0B0058"/>
    <w:rsid w:val="5B641FD2"/>
    <w:rsid w:val="5B661732"/>
    <w:rsid w:val="5B85605C"/>
    <w:rsid w:val="5C7A1030"/>
    <w:rsid w:val="5D0D6A04"/>
    <w:rsid w:val="5D2E6280"/>
    <w:rsid w:val="5D6677C8"/>
    <w:rsid w:val="5DB72F61"/>
    <w:rsid w:val="5DD10AFB"/>
    <w:rsid w:val="5E6A32E8"/>
    <w:rsid w:val="5E6F680C"/>
    <w:rsid w:val="5EFB71CC"/>
    <w:rsid w:val="5F7F1015"/>
    <w:rsid w:val="60D4713E"/>
    <w:rsid w:val="60D94755"/>
    <w:rsid w:val="613E7799"/>
    <w:rsid w:val="6200643D"/>
    <w:rsid w:val="62312EF8"/>
    <w:rsid w:val="62691AE8"/>
    <w:rsid w:val="63E61662"/>
    <w:rsid w:val="63F36349"/>
    <w:rsid w:val="640721AA"/>
    <w:rsid w:val="652A5B5F"/>
    <w:rsid w:val="657F3B1C"/>
    <w:rsid w:val="659C092C"/>
    <w:rsid w:val="65C43C25"/>
    <w:rsid w:val="664F6C9C"/>
    <w:rsid w:val="6683763C"/>
    <w:rsid w:val="66B21048"/>
    <w:rsid w:val="66CF4630"/>
    <w:rsid w:val="678C0773"/>
    <w:rsid w:val="67CA4DF7"/>
    <w:rsid w:val="68430CA2"/>
    <w:rsid w:val="6860298C"/>
    <w:rsid w:val="68804644"/>
    <w:rsid w:val="68987C06"/>
    <w:rsid w:val="698F3ABF"/>
    <w:rsid w:val="6A2B6021"/>
    <w:rsid w:val="6AAB416A"/>
    <w:rsid w:val="6ADF6E0B"/>
    <w:rsid w:val="6B347157"/>
    <w:rsid w:val="6B9E0A74"/>
    <w:rsid w:val="6BAD2A66"/>
    <w:rsid w:val="6BF30DC0"/>
    <w:rsid w:val="6C2170AC"/>
    <w:rsid w:val="6C615D2A"/>
    <w:rsid w:val="6CC5754E"/>
    <w:rsid w:val="6D834437"/>
    <w:rsid w:val="6DAB4F4A"/>
    <w:rsid w:val="6DB46CBB"/>
    <w:rsid w:val="6DBD1686"/>
    <w:rsid w:val="6E6623CD"/>
    <w:rsid w:val="6EA747C8"/>
    <w:rsid w:val="6EFF182A"/>
    <w:rsid w:val="6F6A0833"/>
    <w:rsid w:val="6F887A72"/>
    <w:rsid w:val="6F944668"/>
    <w:rsid w:val="705A0D4A"/>
    <w:rsid w:val="70D171F6"/>
    <w:rsid w:val="70FC4273"/>
    <w:rsid w:val="711772FF"/>
    <w:rsid w:val="71204D91"/>
    <w:rsid w:val="713003C1"/>
    <w:rsid w:val="7141437C"/>
    <w:rsid w:val="71500A63"/>
    <w:rsid w:val="716701DC"/>
    <w:rsid w:val="71702D53"/>
    <w:rsid w:val="727918F3"/>
    <w:rsid w:val="72A92B70"/>
    <w:rsid w:val="72FF629D"/>
    <w:rsid w:val="73593BFF"/>
    <w:rsid w:val="73644352"/>
    <w:rsid w:val="73C7661F"/>
    <w:rsid w:val="741713C4"/>
    <w:rsid w:val="74193AC1"/>
    <w:rsid w:val="742835D1"/>
    <w:rsid w:val="750E27C7"/>
    <w:rsid w:val="754B7577"/>
    <w:rsid w:val="75FE0A8D"/>
    <w:rsid w:val="76960176"/>
    <w:rsid w:val="76F6721A"/>
    <w:rsid w:val="776C1A27"/>
    <w:rsid w:val="783E1615"/>
    <w:rsid w:val="78431690"/>
    <w:rsid w:val="78540E39"/>
    <w:rsid w:val="787A2067"/>
    <w:rsid w:val="78CA2EA9"/>
    <w:rsid w:val="78D1021F"/>
    <w:rsid w:val="7A1940E8"/>
    <w:rsid w:val="7A2F7467"/>
    <w:rsid w:val="7A340B09"/>
    <w:rsid w:val="7B4E6013"/>
    <w:rsid w:val="7B503B39"/>
    <w:rsid w:val="7B5C70B9"/>
    <w:rsid w:val="7BD302C6"/>
    <w:rsid w:val="7C066719"/>
    <w:rsid w:val="7C434C07"/>
    <w:rsid w:val="7D0C7F34"/>
    <w:rsid w:val="7D891584"/>
    <w:rsid w:val="7DA168CE"/>
    <w:rsid w:val="7DBA173E"/>
    <w:rsid w:val="7DF905A7"/>
    <w:rsid w:val="7E086FD3"/>
    <w:rsid w:val="7ED14F91"/>
    <w:rsid w:val="7F3F44E9"/>
    <w:rsid w:val="7F402117"/>
    <w:rsid w:val="7F8244DD"/>
    <w:rsid w:val="7F9B10FB"/>
    <w:rsid w:val="7FA141E3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1469</Words>
  <Characters>1619</Characters>
  <Lines>0</Lines>
  <Paragraphs>0</Paragraphs>
  <TotalTime>0</TotalTime>
  <ScaleCrop>false</ScaleCrop>
  <LinksUpToDate>false</LinksUpToDate>
  <CharactersWithSpaces>1661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2025-10-26T15:15:09Z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