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8737"/>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739"/>
      <w:r>
        <w:rPr>
          <w:rFonts w:hint="eastAsia"/>
          <w:lang w:val="en-US" w:eastAsia="zh-CN"/>
        </w:rPr>
        <w:t>运维服务工具管理制度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D74038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_Toc28737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_Toc28737 \h </w:instrText>
          </w:r>
          <w:r>
            <w:fldChar w:fldCharType="separate"/>
          </w:r>
          <w:r>
            <w:t>1</w:t>
          </w:r>
          <w:r>
            <w:fldChar w:fldCharType="end"/>
          </w:r>
          <w:r>
            <w:rPr>
              <w:rFonts w:hint="eastAsia" w:ascii="宋体" w:hAnsi="宋体" w:eastAsia="宋体" w:cs="宋体"/>
              <w:szCs w:val="24"/>
            </w:rPr>
            <w:fldChar w:fldCharType="end"/>
          </w:r>
        </w:p>
        <w:p w14:paraId="4903979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_Toc739 </w:instrText>
          </w:r>
          <w:r>
            <w:rPr>
              <w:rFonts w:hint="eastAsia" w:ascii="宋体" w:hAnsi="宋体" w:eastAsia="宋体" w:cs="宋体"/>
              <w:szCs w:val="24"/>
            </w:rPr>
            <w:fldChar w:fldCharType="separate"/>
          </w:r>
          <w:r>
            <w:rPr>
              <w:rFonts w:hint="eastAsia"/>
              <w:lang w:val="en-US" w:eastAsia="zh-CN"/>
            </w:rPr>
            <w:t>运维服务工具管理制度</w:t>
          </w:r>
          <w:r>
            <w:tab/>
          </w:r>
          <w:r>
            <w:fldChar w:fldCharType="begin"/>
          </w:r>
          <w:r>
            <w:instrText xml:space="preserve"> PAGEREF _Toc739 \h </w:instrText>
          </w:r>
          <w:r>
            <w:fldChar w:fldCharType="separate"/>
          </w:r>
          <w:r>
            <w:t>1</w:t>
          </w:r>
          <w:r>
            <w:fldChar w:fldCharType="end"/>
          </w:r>
          <w:r>
            <w:rPr>
              <w:rFonts w:hint="eastAsia" w:ascii="宋体" w:hAnsi="宋体" w:eastAsia="宋体" w:cs="宋体"/>
              <w:szCs w:val="24"/>
            </w:rPr>
            <w:fldChar w:fldCharType="end"/>
          </w:r>
        </w:p>
        <w:p w14:paraId="34C196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_Toc23759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_Toc23759 \h </w:instrText>
          </w:r>
          <w:r>
            <w:fldChar w:fldCharType="separate"/>
          </w:r>
          <w:r>
            <w:t>4</w:t>
          </w:r>
          <w:r>
            <w:fldChar w:fldCharType="end"/>
          </w:r>
          <w:r>
            <w:rPr>
              <w:rFonts w:hint="eastAsia" w:ascii="宋体" w:hAnsi="宋体" w:eastAsia="宋体" w:cs="宋体"/>
              <w:szCs w:val="24"/>
            </w:rPr>
            <w:fldChar w:fldCharType="end"/>
          </w:r>
        </w:p>
        <w:p w14:paraId="3DA50BC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_Toc32325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_Toc32325 \h </w:instrText>
          </w:r>
          <w:r>
            <w:fldChar w:fldCharType="separate"/>
          </w:r>
          <w:r>
            <w:t>4</w:t>
          </w:r>
          <w:r>
            <w:fldChar w:fldCharType="end"/>
          </w:r>
          <w:r>
            <w:rPr>
              <w:rFonts w:hint="eastAsia" w:ascii="宋体" w:hAnsi="宋体" w:eastAsia="宋体" w:cs="宋体"/>
              <w:szCs w:val="24"/>
            </w:rPr>
            <w:fldChar w:fldCharType="end"/>
          </w:r>
        </w:p>
        <w:p w14:paraId="060CE6E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_Toc7713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_Toc7713 \h </w:instrText>
          </w:r>
          <w:r>
            <w:fldChar w:fldCharType="separate"/>
          </w:r>
          <w:r>
            <w:t>4</w:t>
          </w:r>
          <w:r>
            <w:fldChar w:fldCharType="end"/>
          </w:r>
          <w:r>
            <w:rPr>
              <w:rFonts w:hint="eastAsia" w:ascii="宋体" w:hAnsi="宋体" w:eastAsia="宋体" w:cs="宋体"/>
              <w:szCs w:val="24"/>
            </w:rPr>
            <w:fldChar w:fldCharType="end"/>
          </w:r>
        </w:p>
        <w:p w14:paraId="2001CE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_Toc15365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_Toc15365 \h </w:instrText>
          </w:r>
          <w:r>
            <w:fldChar w:fldCharType="separate"/>
          </w:r>
          <w:r>
            <w:t>4</w:t>
          </w:r>
          <w:r>
            <w:fldChar w:fldCharType="end"/>
          </w:r>
          <w:r>
            <w:rPr>
              <w:rFonts w:hint="eastAsia" w:ascii="宋体" w:hAnsi="宋体" w:eastAsia="宋体" w:cs="宋体"/>
              <w:szCs w:val="24"/>
            </w:rPr>
            <w:fldChar w:fldCharType="end"/>
          </w:r>
        </w:p>
        <w:p w14:paraId="49E5CB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_Toc2908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_Toc2908 \h </w:instrText>
          </w:r>
          <w:r>
            <w:fldChar w:fldCharType="separate"/>
          </w:r>
          <w:r>
            <w:t>4</w:t>
          </w:r>
          <w:r>
            <w:fldChar w:fldCharType="end"/>
          </w:r>
          <w:r>
            <w:rPr>
              <w:rFonts w:hint="eastAsia" w:ascii="宋体" w:hAnsi="宋体" w:eastAsia="宋体" w:cs="宋体"/>
              <w:szCs w:val="24"/>
            </w:rPr>
            <w:fldChar w:fldCharType="end"/>
          </w:r>
        </w:p>
        <w:p w14:paraId="739EA7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_Toc32255 </w:instrText>
          </w:r>
          <w:r>
            <w:rPr>
              <w:rFonts w:hint="eastAsia" w:ascii="宋体" w:hAnsi="宋体" w:eastAsia="宋体" w:cs="宋体"/>
              <w:szCs w:val="24"/>
            </w:rPr>
            <w:fldChar w:fldCharType="separate"/>
          </w:r>
          <w:r>
            <w:rPr>
              <w:rFonts w:hint="default"/>
              <w:lang w:val="en-US" w:eastAsia="zh-CN"/>
            </w:rPr>
            <w:t>1.5. 运维部</w:t>
          </w:r>
          <w:r>
            <w:tab/>
          </w:r>
          <w:r>
            <w:fldChar w:fldCharType="begin"/>
          </w:r>
          <w:r>
            <w:instrText xml:space="preserve"> PAGEREF _Toc32255 \h </w:instrText>
          </w:r>
          <w:r>
            <w:fldChar w:fldCharType="separate"/>
          </w:r>
          <w:r>
            <w:t>4</w:t>
          </w:r>
          <w:r>
            <w:fldChar w:fldCharType="end"/>
          </w:r>
          <w:r>
            <w:rPr>
              <w:rFonts w:hint="eastAsia" w:ascii="宋体" w:hAnsi="宋体" w:eastAsia="宋体" w:cs="宋体"/>
              <w:szCs w:val="24"/>
            </w:rPr>
            <w:fldChar w:fldCharType="end"/>
          </w:r>
        </w:p>
        <w:p w14:paraId="7F110E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_Toc12563 </w:instrText>
          </w:r>
          <w:r>
            <w:rPr>
              <w:rFonts w:hint="eastAsia" w:ascii="宋体" w:hAnsi="宋体" w:eastAsia="宋体" w:cs="宋体"/>
              <w:szCs w:val="24"/>
            </w:rPr>
            <w:fldChar w:fldCharType="separate"/>
          </w:r>
          <w:r>
            <w:rPr>
              <w:rFonts w:hint="default"/>
              <w:lang w:val="en-US" w:eastAsia="zh-CN"/>
            </w:rPr>
            <w:t>1.6. 质量部</w:t>
          </w:r>
          <w:r>
            <w:tab/>
          </w:r>
          <w:r>
            <w:fldChar w:fldCharType="begin"/>
          </w:r>
          <w:r>
            <w:instrText xml:space="preserve"> PAGEREF _Toc12563 \h </w:instrText>
          </w:r>
          <w:r>
            <w:fldChar w:fldCharType="separate"/>
          </w:r>
          <w:r>
            <w:t>5</w:t>
          </w:r>
          <w:r>
            <w:fldChar w:fldCharType="end"/>
          </w:r>
          <w:r>
            <w:rPr>
              <w:rFonts w:hint="eastAsia" w:ascii="宋体" w:hAnsi="宋体" w:eastAsia="宋体" w:cs="宋体"/>
              <w:szCs w:val="24"/>
            </w:rPr>
            <w:fldChar w:fldCharType="end"/>
          </w:r>
        </w:p>
        <w:p w14:paraId="5323EF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_Toc12304 </w:instrText>
          </w:r>
          <w:r>
            <w:rPr>
              <w:rFonts w:hint="eastAsia" w:ascii="宋体" w:hAnsi="宋体" w:eastAsia="宋体" w:cs="宋体"/>
              <w:szCs w:val="24"/>
            </w:rPr>
            <w:fldChar w:fldCharType="separate"/>
          </w:r>
          <w:r>
            <w:rPr>
              <w:rFonts w:hint="default"/>
              <w:lang w:val="en-US" w:eastAsia="zh-CN"/>
            </w:rPr>
            <w:t>1.7. 采购部</w:t>
          </w:r>
          <w:r>
            <w:tab/>
          </w:r>
          <w:r>
            <w:fldChar w:fldCharType="begin"/>
          </w:r>
          <w:r>
            <w:instrText xml:space="preserve"> PAGEREF _Toc12304 \h </w:instrText>
          </w:r>
          <w:r>
            <w:fldChar w:fldCharType="separate"/>
          </w:r>
          <w:r>
            <w:t>5</w:t>
          </w:r>
          <w:r>
            <w:fldChar w:fldCharType="end"/>
          </w:r>
          <w:r>
            <w:rPr>
              <w:rFonts w:hint="eastAsia" w:ascii="宋体" w:hAnsi="宋体" w:eastAsia="宋体" w:cs="宋体"/>
              <w:szCs w:val="24"/>
            </w:rPr>
            <w:fldChar w:fldCharType="end"/>
          </w:r>
        </w:p>
        <w:p w14:paraId="4F5AB4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_Toc32476 </w:instrText>
          </w:r>
          <w:r>
            <w:rPr>
              <w:rFonts w:hint="eastAsia" w:ascii="宋体" w:hAnsi="宋体" w:eastAsia="宋体" w:cs="宋体"/>
              <w:szCs w:val="24"/>
            </w:rPr>
            <w:fldChar w:fldCharType="separate"/>
          </w:r>
          <w:r>
            <w:rPr>
              <w:rFonts w:hint="default"/>
              <w:lang w:val="en-US" w:eastAsia="zh-CN"/>
            </w:rPr>
            <w:t>1.8. 研发部</w:t>
          </w:r>
          <w:r>
            <w:tab/>
          </w:r>
          <w:r>
            <w:fldChar w:fldCharType="begin"/>
          </w:r>
          <w:r>
            <w:instrText xml:space="preserve"> PAGEREF _Toc32476 \h </w:instrText>
          </w:r>
          <w:r>
            <w:fldChar w:fldCharType="separate"/>
          </w:r>
          <w:r>
            <w:t>5</w:t>
          </w:r>
          <w:r>
            <w:fldChar w:fldCharType="end"/>
          </w:r>
          <w:r>
            <w:rPr>
              <w:rFonts w:hint="eastAsia" w:ascii="宋体" w:hAnsi="宋体" w:eastAsia="宋体" w:cs="宋体"/>
              <w:szCs w:val="24"/>
            </w:rPr>
            <w:fldChar w:fldCharType="end"/>
          </w:r>
        </w:p>
        <w:p w14:paraId="51E819E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_Toc12773 </w:instrText>
          </w:r>
          <w:r>
            <w:rPr>
              <w:rFonts w:hint="eastAsia" w:ascii="宋体" w:hAnsi="宋体" w:eastAsia="宋体" w:cs="宋体"/>
              <w:szCs w:val="24"/>
            </w:rPr>
            <w:fldChar w:fldCharType="separate"/>
          </w:r>
          <w:r>
            <w:rPr>
              <w:rFonts w:hint="default"/>
              <w:lang w:val="en-US" w:eastAsia="zh-CN"/>
            </w:rPr>
            <w:t>1.9. 人力资源部</w:t>
          </w:r>
          <w:r>
            <w:tab/>
          </w:r>
          <w:r>
            <w:fldChar w:fldCharType="begin"/>
          </w:r>
          <w:r>
            <w:instrText xml:space="preserve"> PAGEREF _Toc12773 \h </w:instrText>
          </w:r>
          <w:r>
            <w:fldChar w:fldCharType="separate"/>
          </w:r>
          <w:r>
            <w:t>5</w:t>
          </w:r>
          <w:r>
            <w:fldChar w:fldCharType="end"/>
          </w:r>
          <w:r>
            <w:rPr>
              <w:rFonts w:hint="eastAsia" w:ascii="宋体" w:hAnsi="宋体" w:eastAsia="宋体" w:cs="宋体"/>
              <w:szCs w:val="24"/>
            </w:rPr>
            <w:fldChar w:fldCharType="end"/>
          </w:r>
        </w:p>
        <w:p w14:paraId="3A7BBE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_Toc29298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_Toc29298 \h </w:instrText>
          </w:r>
          <w:r>
            <w:fldChar w:fldCharType="separate"/>
          </w:r>
          <w:r>
            <w:t>5</w:t>
          </w:r>
          <w:r>
            <w:fldChar w:fldCharType="end"/>
          </w:r>
          <w:r>
            <w:rPr>
              <w:rFonts w:hint="eastAsia" w:ascii="宋体" w:hAnsi="宋体" w:eastAsia="宋体" w:cs="宋体"/>
              <w:szCs w:val="24"/>
            </w:rPr>
            <w:fldChar w:fldCharType="end"/>
          </w:r>
        </w:p>
        <w:p w14:paraId="1EC2F8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_Toc15360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_Toc15360 \h </w:instrText>
          </w:r>
          <w:r>
            <w:fldChar w:fldCharType="separate"/>
          </w:r>
          <w:r>
            <w:t>5</w:t>
          </w:r>
          <w:r>
            <w:fldChar w:fldCharType="end"/>
          </w:r>
          <w:r>
            <w:rPr>
              <w:rFonts w:hint="eastAsia" w:ascii="宋体" w:hAnsi="宋体" w:eastAsia="宋体" w:cs="宋体"/>
              <w:szCs w:val="24"/>
            </w:rPr>
            <w:fldChar w:fldCharType="end"/>
          </w:r>
        </w:p>
        <w:p w14:paraId="02CBEC3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_Toc13602 </w:instrText>
          </w:r>
          <w:r>
            <w:rPr>
              <w:rFonts w:hint="eastAsia" w:ascii="宋体" w:hAnsi="宋体" w:eastAsia="宋体" w:cs="宋体"/>
              <w:szCs w:val="24"/>
            </w:rPr>
            <w:fldChar w:fldCharType="separate"/>
          </w:r>
          <w:r>
            <w:rPr>
              <w:rFonts w:hint="default"/>
            </w:rPr>
            <w:t xml:space="preserve">3.1. </w:t>
          </w:r>
          <w:r>
            <w:rPr>
              <w:rFonts w:hint="eastAsia"/>
            </w:rPr>
            <w:t>运维工具</w:t>
          </w:r>
          <w:r>
            <w:tab/>
          </w:r>
          <w:r>
            <w:fldChar w:fldCharType="begin"/>
          </w:r>
          <w:r>
            <w:instrText xml:space="preserve"> PAGEREF _Toc13602 \h </w:instrText>
          </w:r>
          <w:r>
            <w:fldChar w:fldCharType="separate"/>
          </w:r>
          <w:r>
            <w:t>5</w:t>
          </w:r>
          <w:r>
            <w:fldChar w:fldCharType="end"/>
          </w:r>
          <w:r>
            <w:rPr>
              <w:rFonts w:hint="eastAsia" w:ascii="宋体" w:hAnsi="宋体" w:eastAsia="宋体" w:cs="宋体"/>
              <w:szCs w:val="24"/>
            </w:rPr>
            <w:fldChar w:fldCharType="end"/>
          </w:r>
        </w:p>
        <w:p w14:paraId="2C315B4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_Toc8717 </w:instrText>
          </w:r>
          <w:r>
            <w:rPr>
              <w:rFonts w:hint="eastAsia" w:ascii="宋体" w:hAnsi="宋体" w:eastAsia="宋体" w:cs="宋体"/>
              <w:szCs w:val="24"/>
            </w:rPr>
            <w:fldChar w:fldCharType="separate"/>
          </w:r>
          <w:r>
            <w:rPr>
              <w:rFonts w:hint="default"/>
            </w:rPr>
            <w:t xml:space="preserve">3.2. </w:t>
          </w:r>
          <w:r>
            <w:rPr>
              <w:rFonts w:hint="eastAsia"/>
            </w:rPr>
            <w:t>过程管理工具</w:t>
          </w:r>
          <w:r>
            <w:tab/>
          </w:r>
          <w:r>
            <w:fldChar w:fldCharType="begin"/>
          </w:r>
          <w:r>
            <w:instrText xml:space="preserve"> PAGEREF _Toc8717 \h </w:instrText>
          </w:r>
          <w:r>
            <w:fldChar w:fldCharType="separate"/>
          </w:r>
          <w:r>
            <w:t>6</w:t>
          </w:r>
          <w:r>
            <w:fldChar w:fldCharType="end"/>
          </w:r>
          <w:r>
            <w:rPr>
              <w:rFonts w:hint="eastAsia" w:ascii="宋体" w:hAnsi="宋体" w:eastAsia="宋体" w:cs="宋体"/>
              <w:szCs w:val="24"/>
            </w:rPr>
            <w:fldChar w:fldCharType="end"/>
          </w:r>
        </w:p>
        <w:p w14:paraId="0A7A4C4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_Toc1355 </w:instrText>
          </w:r>
          <w:r>
            <w:rPr>
              <w:rFonts w:hint="eastAsia" w:ascii="宋体" w:hAnsi="宋体" w:eastAsia="宋体" w:cs="宋体"/>
              <w:szCs w:val="24"/>
            </w:rPr>
            <w:fldChar w:fldCharType="separate"/>
          </w:r>
          <w:r>
            <w:rPr>
              <w:rFonts w:hint="default"/>
            </w:rPr>
            <w:t xml:space="preserve">3.3. </w:t>
          </w:r>
          <w:r>
            <w:rPr>
              <w:rFonts w:hint="eastAsia"/>
            </w:rPr>
            <w:t>监控工具</w:t>
          </w:r>
          <w:r>
            <w:tab/>
          </w:r>
          <w:r>
            <w:fldChar w:fldCharType="begin"/>
          </w:r>
          <w:r>
            <w:instrText xml:space="preserve"> PAGEREF _Toc1355 \h </w:instrText>
          </w:r>
          <w:r>
            <w:fldChar w:fldCharType="separate"/>
          </w:r>
          <w:r>
            <w:t>6</w:t>
          </w:r>
          <w:r>
            <w:fldChar w:fldCharType="end"/>
          </w:r>
          <w:r>
            <w:rPr>
              <w:rFonts w:hint="eastAsia" w:ascii="宋体" w:hAnsi="宋体" w:eastAsia="宋体" w:cs="宋体"/>
              <w:szCs w:val="24"/>
            </w:rPr>
            <w:fldChar w:fldCharType="end"/>
          </w:r>
        </w:p>
        <w:p w14:paraId="58FEEC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_Toc1218 </w:instrText>
          </w:r>
          <w:r>
            <w:rPr>
              <w:rFonts w:hint="eastAsia" w:ascii="宋体" w:hAnsi="宋体" w:eastAsia="宋体" w:cs="宋体"/>
              <w:szCs w:val="24"/>
            </w:rPr>
            <w:fldChar w:fldCharType="separate"/>
          </w:r>
          <w:r>
            <w:rPr>
              <w:rFonts w:hint="default"/>
            </w:rPr>
            <w:t xml:space="preserve">3.4. </w:t>
          </w:r>
          <w:r>
            <w:rPr>
              <w:rFonts w:hint="eastAsia"/>
            </w:rPr>
            <w:t>工具全生命周期</w:t>
          </w:r>
          <w:r>
            <w:tab/>
          </w:r>
          <w:r>
            <w:fldChar w:fldCharType="begin"/>
          </w:r>
          <w:r>
            <w:instrText xml:space="preserve"> PAGEREF _Toc1218 \h </w:instrText>
          </w:r>
          <w:r>
            <w:fldChar w:fldCharType="separate"/>
          </w:r>
          <w:r>
            <w:t>6</w:t>
          </w:r>
          <w:r>
            <w:fldChar w:fldCharType="end"/>
          </w:r>
          <w:r>
            <w:rPr>
              <w:rFonts w:hint="eastAsia" w:ascii="宋体" w:hAnsi="宋体" w:eastAsia="宋体" w:cs="宋体"/>
              <w:szCs w:val="24"/>
            </w:rPr>
            <w:fldChar w:fldCharType="end"/>
          </w:r>
        </w:p>
        <w:p w14:paraId="6945D3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_Toc21820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_Toc21820 \h </w:instrText>
          </w:r>
          <w:r>
            <w:fldChar w:fldCharType="separate"/>
          </w:r>
          <w:r>
            <w:t>6</w:t>
          </w:r>
          <w:r>
            <w:fldChar w:fldCharType="end"/>
          </w:r>
          <w:r>
            <w:rPr>
              <w:rFonts w:hint="eastAsia" w:ascii="宋体" w:hAnsi="宋体" w:eastAsia="宋体" w:cs="宋体"/>
              <w:szCs w:val="24"/>
            </w:rPr>
            <w:fldChar w:fldCharType="end"/>
          </w:r>
        </w:p>
        <w:p w14:paraId="5C2D2ED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_Toc22493 </w:instrText>
          </w:r>
          <w:r>
            <w:rPr>
              <w:rFonts w:hint="eastAsia" w:ascii="宋体" w:hAnsi="宋体" w:eastAsia="宋体" w:cs="宋体"/>
              <w:szCs w:val="24"/>
            </w:rPr>
            <w:fldChar w:fldCharType="separate"/>
          </w:r>
          <w:r>
            <w:rPr>
              <w:rFonts w:hint="default"/>
              <w:lang w:val="en-US" w:eastAsia="zh-CN"/>
            </w:rPr>
            <w:t>4.1. 工具分类</w:t>
          </w:r>
          <w:r>
            <w:tab/>
          </w:r>
          <w:r>
            <w:fldChar w:fldCharType="begin"/>
          </w:r>
          <w:r>
            <w:instrText xml:space="preserve"> PAGEREF _Toc22493 \h </w:instrText>
          </w:r>
          <w:r>
            <w:fldChar w:fldCharType="separate"/>
          </w:r>
          <w:r>
            <w:t>6</w:t>
          </w:r>
          <w:r>
            <w:fldChar w:fldCharType="end"/>
          </w:r>
          <w:r>
            <w:rPr>
              <w:rFonts w:hint="eastAsia" w:ascii="宋体" w:hAnsi="宋体" w:eastAsia="宋体" w:cs="宋体"/>
              <w:szCs w:val="24"/>
            </w:rPr>
            <w:fldChar w:fldCharType="end"/>
          </w:r>
        </w:p>
        <w:p w14:paraId="3F6D0AB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_Toc4541 </w:instrText>
          </w:r>
          <w:r>
            <w:rPr>
              <w:rFonts w:hint="eastAsia" w:ascii="宋体" w:hAnsi="宋体" w:eastAsia="宋体" w:cs="宋体"/>
              <w:szCs w:val="24"/>
            </w:rPr>
            <w:fldChar w:fldCharType="separate"/>
          </w:r>
          <w:r>
            <w:rPr>
              <w:rFonts w:hint="default"/>
              <w:lang w:val="en-US" w:eastAsia="zh-CN"/>
            </w:rPr>
            <w:t>4.2. 需求管理</w:t>
          </w:r>
          <w:r>
            <w:tab/>
          </w:r>
          <w:r>
            <w:fldChar w:fldCharType="begin"/>
          </w:r>
          <w:r>
            <w:instrText xml:space="preserve"> PAGEREF _Toc4541 \h </w:instrText>
          </w:r>
          <w:r>
            <w:fldChar w:fldCharType="separate"/>
          </w:r>
          <w:r>
            <w:t>7</w:t>
          </w:r>
          <w:r>
            <w:fldChar w:fldCharType="end"/>
          </w:r>
          <w:r>
            <w:rPr>
              <w:rFonts w:hint="eastAsia" w:ascii="宋体" w:hAnsi="宋体" w:eastAsia="宋体" w:cs="宋体"/>
              <w:szCs w:val="24"/>
            </w:rPr>
            <w:fldChar w:fldCharType="end"/>
          </w:r>
        </w:p>
        <w:p w14:paraId="6DDA537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_Toc1281 </w:instrText>
          </w:r>
          <w:r>
            <w:rPr>
              <w:rFonts w:hint="eastAsia" w:ascii="宋体" w:hAnsi="宋体" w:eastAsia="宋体" w:cs="宋体"/>
              <w:szCs w:val="24"/>
            </w:rPr>
            <w:fldChar w:fldCharType="separate"/>
          </w:r>
          <w:r>
            <w:rPr>
              <w:rFonts w:hint="default"/>
              <w:lang w:val="en-US" w:eastAsia="zh-CN"/>
            </w:rPr>
            <w:t>4.3. 试用与发布</w:t>
          </w:r>
          <w:r>
            <w:tab/>
          </w:r>
          <w:r>
            <w:fldChar w:fldCharType="begin"/>
          </w:r>
          <w:r>
            <w:instrText xml:space="preserve"> PAGEREF _Toc1281 \h </w:instrText>
          </w:r>
          <w:r>
            <w:fldChar w:fldCharType="separate"/>
          </w:r>
          <w:r>
            <w:t>7</w:t>
          </w:r>
          <w:r>
            <w:fldChar w:fldCharType="end"/>
          </w:r>
          <w:r>
            <w:rPr>
              <w:rFonts w:hint="eastAsia" w:ascii="宋体" w:hAnsi="宋体" w:eastAsia="宋体" w:cs="宋体"/>
              <w:szCs w:val="24"/>
            </w:rPr>
            <w:fldChar w:fldCharType="end"/>
          </w:r>
        </w:p>
        <w:p w14:paraId="58201B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_Toc22008 </w:instrText>
          </w:r>
          <w:r>
            <w:rPr>
              <w:rFonts w:hint="eastAsia" w:ascii="宋体" w:hAnsi="宋体" w:eastAsia="宋体" w:cs="宋体"/>
              <w:szCs w:val="24"/>
            </w:rPr>
            <w:fldChar w:fldCharType="separate"/>
          </w:r>
          <w:r>
            <w:rPr>
              <w:rFonts w:hint="default"/>
              <w:lang w:val="en-US" w:eastAsia="zh-CN"/>
            </w:rPr>
            <w:t>4.4. 清单与授权管理</w:t>
          </w:r>
          <w:r>
            <w:tab/>
          </w:r>
          <w:r>
            <w:fldChar w:fldCharType="begin"/>
          </w:r>
          <w:r>
            <w:instrText xml:space="preserve"> PAGEREF _Toc22008 \h </w:instrText>
          </w:r>
          <w:r>
            <w:fldChar w:fldCharType="separate"/>
          </w:r>
          <w:r>
            <w:t>7</w:t>
          </w:r>
          <w:r>
            <w:fldChar w:fldCharType="end"/>
          </w:r>
          <w:r>
            <w:rPr>
              <w:rFonts w:hint="eastAsia" w:ascii="宋体" w:hAnsi="宋体" w:eastAsia="宋体" w:cs="宋体"/>
              <w:szCs w:val="24"/>
            </w:rPr>
            <w:fldChar w:fldCharType="end"/>
          </w:r>
        </w:p>
        <w:p w14:paraId="2E3909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_Toc31356 </w:instrText>
          </w:r>
          <w:r>
            <w:rPr>
              <w:rFonts w:hint="eastAsia" w:ascii="宋体" w:hAnsi="宋体" w:eastAsia="宋体" w:cs="宋体"/>
              <w:szCs w:val="24"/>
            </w:rPr>
            <w:fldChar w:fldCharType="separate"/>
          </w:r>
          <w:r>
            <w:rPr>
              <w:rFonts w:hint="default"/>
              <w:lang w:val="en-US" w:eastAsia="zh-CN"/>
            </w:rPr>
            <w:t>4.5. 跟踪控制与持续改进</w:t>
          </w:r>
          <w:r>
            <w:tab/>
          </w:r>
          <w:r>
            <w:fldChar w:fldCharType="begin"/>
          </w:r>
          <w:r>
            <w:instrText xml:space="preserve"> PAGEREF _Toc31356 \h </w:instrText>
          </w:r>
          <w:r>
            <w:fldChar w:fldCharType="separate"/>
          </w:r>
          <w:r>
            <w:t>7</w:t>
          </w:r>
          <w:r>
            <w:fldChar w:fldCharType="end"/>
          </w:r>
          <w:r>
            <w:rPr>
              <w:rFonts w:hint="eastAsia" w:ascii="宋体" w:hAnsi="宋体" w:eastAsia="宋体" w:cs="宋体"/>
              <w:szCs w:val="24"/>
            </w:rPr>
            <w:fldChar w:fldCharType="end"/>
          </w:r>
        </w:p>
        <w:p w14:paraId="3C1BD2E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_Toc16294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_Toc16294 \h </w:instrText>
          </w:r>
          <w:r>
            <w:fldChar w:fldCharType="separate"/>
          </w:r>
          <w:r>
            <w:t>8</w:t>
          </w:r>
          <w:r>
            <w:fldChar w:fldCharType="end"/>
          </w:r>
          <w:r>
            <w:rPr>
              <w:rFonts w:hint="eastAsia" w:ascii="宋体" w:hAnsi="宋体" w:eastAsia="宋体" w:cs="宋体"/>
              <w:szCs w:val="24"/>
            </w:rPr>
            <w:fldChar w:fldCharType="end"/>
          </w:r>
        </w:p>
        <w:p w14:paraId="49E9585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_Toc11581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_Toc11581 \h </w:instrText>
          </w:r>
          <w:r>
            <w:fldChar w:fldCharType="separate"/>
          </w:r>
          <w:r>
            <w:t>8</w:t>
          </w:r>
          <w:r>
            <w:fldChar w:fldCharType="end"/>
          </w:r>
          <w:r>
            <w:rPr>
              <w:rFonts w:hint="eastAsia" w:ascii="宋体" w:hAnsi="宋体" w:eastAsia="宋体" w:cs="宋体"/>
              <w:szCs w:val="24"/>
            </w:rPr>
            <w:fldChar w:fldCharType="end"/>
          </w:r>
        </w:p>
        <w:p w14:paraId="7A91747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_Toc28072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_Toc28072 \h </w:instrText>
          </w:r>
          <w:r>
            <w:fldChar w:fldCharType="separate"/>
          </w:r>
          <w:r>
            <w:t>8</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3759"/>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32325"/>
      <w:r>
        <w:rPr>
          <w:rFonts w:hint="eastAsia"/>
          <w:lang w:val="en-US" w:eastAsia="zh-CN"/>
        </w:rPr>
        <w:t>目的</w:t>
      </w:r>
      <w:bookmarkEnd w:id="3"/>
    </w:p>
    <w:p w14:paraId="166FA58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为规范公司运维工具的全生命周期管理，明确各相关部门职责，确保运维工具的选型、采购、研发、应用、维护及退役过程受控、高效、安全，有效支撑ITSS三级要求的运维服务能力，特制定本制度。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7713"/>
      <w:r>
        <w:rPr>
          <w:rFonts w:hint="eastAsia"/>
          <w:lang w:val="en-US" w:eastAsia="zh-CN"/>
        </w:rPr>
        <w:t>适用范围</w:t>
      </w:r>
      <w:bookmarkEnd w:id="4"/>
    </w:p>
    <w:p w14:paraId="1B749E2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信息技术运维服务相关的工具管理活动，涉及部门包括但不限于运维部、质量部、采购部、研发部、人力资源部。管理范围涵盖工具的规划、需求、设计、开发/采购、测试、发布、使用、监控、评估及改进等全过程。</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5365"/>
      <w:r>
        <w:rPr>
          <w:rFonts w:hint="eastAsia"/>
          <w:lang w:val="en-US" w:eastAsia="zh-CN"/>
        </w:rPr>
        <w:t>原则</w:t>
      </w:r>
      <w:bookmarkEnd w:id="5"/>
    </w:p>
    <w:p w14:paraId="499FCEC1">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统一规划原则： 运维工具的建设与应用应在公司整体战略和运维体系规划下统一进行，避免重复投资和信息孤岛。</w:t>
      </w:r>
    </w:p>
    <w:p w14:paraId="1ACC7E0D">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业务匹配原则： 工具的选择与开发应紧密贴合运维业务需求，确保工具能有效提升服务效率与质量。</w:t>
      </w:r>
    </w:p>
    <w:p w14:paraId="6B945C7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安全可控原则： 所有运维工具必须符合公司信息安全与保密规定，关键工具应实现自主可控或具备可靠的供应链保障。</w:t>
      </w:r>
    </w:p>
    <w:p w14:paraId="1FAC3D10">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持续改进原则： 定期评估工具应用效果，基于数据和反馈持续优化工具功能与性能，形成管理闭环。</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908"/>
      <w:r>
        <w:rPr>
          <w:rFonts w:hint="eastAsia"/>
          <w:lang w:val="en-US" w:eastAsia="zh-CN"/>
        </w:rPr>
        <w:t>岗位职责</w:t>
      </w:r>
      <w:bookmarkEnd w:id="6"/>
    </w:p>
    <w:p w14:paraId="308BDF5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32255"/>
      <w:r>
        <w:rPr>
          <w:rFonts w:hint="default"/>
          <w:lang w:val="en-US" w:eastAsia="zh-CN"/>
        </w:rPr>
        <w:t>运维部</w:t>
      </w:r>
      <w:bookmarkEnd w:id="7"/>
    </w:p>
    <w:p w14:paraId="53F7A8A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作为运维工具的归口管理部门，负责组织制定和维护运维工具应用规范。</w:t>
      </w:r>
    </w:p>
    <w:p w14:paraId="44A44C6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负责提出运维工具需求，组织工具试用，收集使用反馈。</w:t>
      </w:r>
    </w:p>
    <w:p w14:paraId="1E66D96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负责维护和发布《运维工具清单》，负责工具的日常使用、记录和常规维护。</w:t>
      </w:r>
    </w:p>
    <w:p w14:paraId="342EAD9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负责组织工具的使用培训，并将工具使用指南纳入知识库。</w:t>
      </w:r>
    </w:p>
    <w:p w14:paraId="543E4186">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2563"/>
      <w:r>
        <w:rPr>
          <w:rFonts w:hint="default"/>
          <w:lang w:val="en-US" w:eastAsia="zh-CN"/>
        </w:rPr>
        <w:t>质量部</w:t>
      </w:r>
      <w:bookmarkEnd w:id="8"/>
    </w:p>
    <w:p w14:paraId="17550C1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负责监督本制度的执行情况，并组织对运维工具应用效果的定期评估。</w:t>
      </w:r>
    </w:p>
    <w:p w14:paraId="0D65B04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负责审核工具管理流程的合规性，确保其符合ITSS等标准体系要求。</w:t>
      </w:r>
    </w:p>
    <w:p w14:paraId="558BFCC5">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2304"/>
      <w:r>
        <w:rPr>
          <w:rFonts w:hint="default"/>
          <w:lang w:val="en-US" w:eastAsia="zh-CN"/>
        </w:rPr>
        <w:t>采购部</w:t>
      </w:r>
      <w:bookmarkEnd w:id="9"/>
    </w:p>
    <w:p w14:paraId="526D677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负责根据经审批的采购需求，执行第三方运维工具的采购流程。</w:t>
      </w:r>
    </w:p>
    <w:p w14:paraId="48E6C1B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确保采购合同条款明确工具升级、维保等供应商服务内容。</w:t>
      </w:r>
    </w:p>
    <w:p w14:paraId="0330C6F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32476"/>
      <w:r>
        <w:rPr>
          <w:rFonts w:hint="default"/>
          <w:lang w:val="en-US" w:eastAsia="zh-CN"/>
        </w:rPr>
        <w:t>研发部</w:t>
      </w:r>
      <w:bookmarkEnd w:id="10"/>
    </w:p>
    <w:p w14:paraId="096A629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负责根据公司年度技术研发计划，进行自有运维工具的研发、升级、更新与补丁发布。</w:t>
      </w:r>
    </w:p>
    <w:p w14:paraId="787F48C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负责管理自有运维工具的知识产权及相关技术资料。</w:t>
      </w:r>
    </w:p>
    <w:p w14:paraId="57C6BE0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12773"/>
      <w:r>
        <w:rPr>
          <w:rFonts w:hint="default"/>
          <w:lang w:val="en-US" w:eastAsia="zh-CN"/>
        </w:rPr>
        <w:t>人力资源部</w:t>
      </w:r>
      <w:bookmarkEnd w:id="11"/>
    </w:p>
    <w:p w14:paraId="70328B7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负责协同运维部，组织或协调运维工具相关的培训资源，确保人员能力与工具要求匹配。</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9298"/>
      <w:r>
        <w:rPr>
          <w:rFonts w:hint="eastAsia"/>
          <w:lang w:val="en-US" w:eastAsia="zh-CN"/>
        </w:rPr>
        <w:t>引用依据</w:t>
      </w:r>
      <w:bookmarkEnd w:id="12"/>
    </w:p>
    <w:p w14:paraId="0E9F7D8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本制度的制定与实施主要参考以下国家标准和行业规范：</w:t>
      </w:r>
    </w:p>
    <w:p w14:paraId="4AD86BBB">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3BF08ED9">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221978FE">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6D0B964A">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13" w:name="_Toc15360"/>
      <w:r>
        <w:rPr>
          <w:rFonts w:hint="eastAsia"/>
          <w:lang w:val="en-US" w:eastAsia="zh-CN"/>
        </w:rPr>
        <w:t>定义与术语</w:t>
      </w:r>
      <w:bookmarkEnd w:id="13"/>
    </w:p>
    <w:p w14:paraId="65740B8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13602"/>
      <w:r>
        <w:rPr>
          <w:rFonts w:hint="eastAsia"/>
        </w:rPr>
        <w:t>运维工具</w:t>
      </w:r>
      <w:bookmarkEnd w:id="14"/>
    </w:p>
    <w:p w14:paraId="291178F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指用于支持信息技术运维服务交付、管理、监控和优化的各类软件或软硬件一体化平台。</w:t>
      </w:r>
    </w:p>
    <w:p w14:paraId="356C4A64">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8717"/>
      <w:r>
        <w:rPr>
          <w:rFonts w:hint="eastAsia"/>
        </w:rPr>
        <w:t>过程管理工具</w:t>
      </w:r>
      <w:bookmarkEnd w:id="15"/>
    </w:p>
    <w:p w14:paraId="64C2088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用于实现运维服务管理过程的工具，如IT服务管理（ITSM）平台、流程引擎等，具备日常管理、记录、测量、监督和评估等功能。</w:t>
      </w:r>
    </w:p>
    <w:p w14:paraId="170999F4">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355"/>
      <w:r>
        <w:rPr>
          <w:rFonts w:hint="eastAsia"/>
        </w:rPr>
        <w:t>监控工具</w:t>
      </w:r>
      <w:bookmarkEnd w:id="16"/>
    </w:p>
    <w:p w14:paraId="1374157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用于对运维对象（如网络、服务器、应用、数据库等）进行数据采集、性能监控和事件告警的工具。</w:t>
      </w:r>
    </w:p>
    <w:p w14:paraId="4AD8F3A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1218"/>
      <w:r>
        <w:rPr>
          <w:rFonts w:hint="eastAsia"/>
        </w:rPr>
        <w:t>工具全生命周期</w:t>
      </w:r>
      <w:bookmarkEnd w:id="17"/>
    </w:p>
    <w:p w14:paraId="0F754EA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指运维工具从需求提出到最终退役所经历的全部阶段，包括规划、设计、开发/采购、测试、部署、使用、维护和退役。</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1820"/>
      <w:r>
        <w:rPr>
          <w:rFonts w:hint="eastAsia"/>
          <w:lang w:val="en-US" w:eastAsia="zh-CN"/>
        </w:rPr>
        <w:t>管理内容与要求</w:t>
      </w:r>
      <w:bookmarkEnd w:id="18"/>
    </w:p>
    <w:p w14:paraId="50FF178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22493"/>
      <w:r>
        <w:rPr>
          <w:rFonts w:hint="default"/>
          <w:lang w:val="en-US" w:eastAsia="zh-CN"/>
        </w:rPr>
        <w:t>工具分类</w:t>
      </w:r>
      <w:bookmarkEnd w:id="19"/>
    </w:p>
    <w:p w14:paraId="0A21524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为便于管理，将运维工具分为以下三类：</w:t>
      </w:r>
    </w:p>
    <w:p w14:paraId="7EB03030">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过程管理工具：</w:t>
      </w:r>
    </w:p>
    <w:p w14:paraId="5998835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按照ITSS体系制定的运维管理过程规范，管理运行维护服务的交付过程，包括事件、问题、变更、配置、发布等流程的管理、记录、测量、监督和评估。</w:t>
      </w:r>
    </w:p>
    <w:p w14:paraId="3E659BCC">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监控工具：</w:t>
      </w:r>
    </w:p>
    <w:p w14:paraId="3962DB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对运行维护服务对象进行数据的采集和监控，主动发现和预警故障隐患，保障服务对象稳定运行。</w:t>
      </w:r>
    </w:p>
    <w:p w14:paraId="74EA8D01">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专用工具：</w:t>
      </w:r>
    </w:p>
    <w:p w14:paraId="550532F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根据特定服务要求配备的工具，如安全渗透测试工具、数据备份恢复工具、性能深度诊断工具等。</w:t>
      </w:r>
    </w:p>
    <w:p w14:paraId="5F965AF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14:paraId="7BF821E7">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4541"/>
      <w:r>
        <w:rPr>
          <w:rFonts w:hint="default"/>
          <w:lang w:val="en-US" w:eastAsia="zh-CN"/>
        </w:rPr>
        <w:t>需求管理</w:t>
      </w:r>
      <w:bookmarkEnd w:id="20"/>
    </w:p>
    <w:p w14:paraId="5B3AC73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运维工具的需求主要由运维部工程师基于业务实际提出，内容应涵盖功能、性能、安全性、易用性等方面，并明确验收标准。</w:t>
      </w:r>
    </w:p>
    <w:p w14:paraId="1A087E5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需求提出后，由运维部组织质量部、研发部等进行需求评审，分析可行性、成本与效益。</w:t>
      </w:r>
    </w:p>
    <w:p w14:paraId="08693D1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研发类需求：对于修复BUG或功能增强的需求，须形成可安装/卸载的补丁程序。自有工具的研发应遵循节约原则，优先考虑基于开源软件进行二次开发，但必须经过严格测试。</w:t>
      </w:r>
    </w:p>
    <w:p w14:paraId="088FEBC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采购类需求： 采购第三方商业工具必须符合公司安全和保密规定，并履行严格的报批程序。采购部需在合同中明确供应商的升级、培训和技术支持等责任条款。</w:t>
      </w:r>
    </w:p>
    <w:p w14:paraId="4BE0FEFD">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281"/>
      <w:r>
        <w:rPr>
          <w:rFonts w:hint="default"/>
          <w:lang w:val="en-US" w:eastAsia="zh-CN"/>
        </w:rPr>
        <w:t>试用与发布</w:t>
      </w:r>
      <w:bookmarkEnd w:id="21"/>
    </w:p>
    <w:p w14:paraId="51D48A2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工具试用：新工具或重大版本升级前，由运维部组织相关部门进行试用，并收集试用反馈，形成《试用评估报告》。</w:t>
      </w:r>
    </w:p>
    <w:p w14:paraId="102161E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工具发布：通过试用评估后，方可在公司范围内正式发布。发布工作包括：</w:t>
      </w:r>
    </w:p>
    <w:p w14:paraId="6EB90FB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将工具及应用指南、使用手册纳入知识库和统一访问入口。</w:t>
      </w:r>
    </w:p>
    <w:p w14:paraId="77020A3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由运维部协同人力资源部组织相关使用培训。</w:t>
      </w:r>
    </w:p>
    <w:p w14:paraId="56AB149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更新《运维工具清单》。</w:t>
      </w:r>
    </w:p>
    <w:p w14:paraId="28ED4C05">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22008"/>
      <w:r>
        <w:rPr>
          <w:rFonts w:hint="default"/>
          <w:lang w:val="en-US" w:eastAsia="zh-CN"/>
        </w:rPr>
        <w:t>清单与授权管理</w:t>
      </w:r>
      <w:bookmarkEnd w:id="22"/>
    </w:p>
    <w:p w14:paraId="59D13AB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运维部负责建立并维护统一的《运维工具清单》，明确记录工具名称、版本、类型、应用范围、管理员及当前状态。</w:t>
      </w:r>
    </w:p>
    <w:p w14:paraId="466FF8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运维部应基于“最小权限原则”，根据不同的运维角色和职责，对工具的使用权限进行分级授权，并形成《权限分配记录》，定期评审。</w:t>
      </w:r>
    </w:p>
    <w:p w14:paraId="3DB8FDF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31356"/>
      <w:r>
        <w:rPr>
          <w:rFonts w:hint="default"/>
          <w:lang w:val="en-US" w:eastAsia="zh-CN"/>
        </w:rPr>
        <w:t>跟踪控制与持续改进</w:t>
      </w:r>
      <w:bookmarkEnd w:id="23"/>
    </w:p>
    <w:p w14:paraId="5D31D9E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使用记录：运维人员应记录工具的日常使用情况与问题。运维部定期收集使用反馈。</w:t>
      </w:r>
    </w:p>
    <w:p w14:paraId="61DC45F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定期评估：质量部应至少每年度组织一次运维工具应用效果的全面评估，评估维度包括工具的性能、功能、安全性、负载以及对运维目标的支撑度，并形成《运维工具评估报告》。</w:t>
      </w:r>
    </w:p>
    <w:p w14:paraId="7991ADD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改进与升级：评估中发现的问题和改进需求，应作为工具优化或新版本规划的需求输入。</w:t>
      </w:r>
    </w:p>
    <w:p w14:paraId="2D6039B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工具的更新与升级应纳入年度运维服务技术研发计划，由研发部按季度规划执行。</w:t>
      </w:r>
    </w:p>
    <w:p w14:paraId="4173EE3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形成“使用-&gt;记录-&gt;评估-&gt;改进”的闭环管理机制，确保运维工具的持续有效性和先进性。</w:t>
      </w:r>
    </w:p>
    <w:p w14:paraId="092E4656">
      <w:pPr>
        <w:pStyle w:val="30"/>
        <w:bidi w:val="0"/>
        <w:rPr>
          <w:rFonts w:hint="default"/>
          <w:lang w:val="en-US" w:eastAsia="zh-CN"/>
        </w:rPr>
      </w:pPr>
      <w:r>
        <w:rPr>
          <w:rFonts w:hint="eastAsia"/>
          <w:lang w:val="en-US" w:eastAsia="zh-CN"/>
        </w:rPr>
        <w:t>考核指标</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0DF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F3BE43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28F79B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66256F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13D7B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7583A6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F5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B0B5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1E841C6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自评估次数</w:t>
            </w:r>
          </w:p>
        </w:tc>
        <w:tc>
          <w:tcPr>
            <w:tcW w:w="3427" w:type="dxa"/>
          </w:tcPr>
          <w:p w14:paraId="1BD91A9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数量，运维工具自评估报告数</w:t>
            </w:r>
            <w:bookmarkStart w:id="30" w:name="_GoBack"/>
            <w:bookmarkEnd w:id="30"/>
          </w:p>
        </w:tc>
        <w:tc>
          <w:tcPr>
            <w:tcW w:w="1107" w:type="dxa"/>
          </w:tcPr>
          <w:p w14:paraId="2FCE6EE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55CD9B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≥1次</w:t>
            </w:r>
          </w:p>
        </w:tc>
      </w:tr>
    </w:tbl>
    <w:p w14:paraId="084F4E94">
      <w:pPr>
        <w:pStyle w:val="29"/>
        <w:rPr>
          <w:rFonts w:hint="default"/>
          <w:lang w:val="en-US" w:eastAsia="zh-CN"/>
        </w:rPr>
      </w:pP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4" w:name="bookmark3"/>
      <w:bookmarkEnd w:id="24"/>
      <w:bookmarkStart w:id="25" w:name="_Toc17424"/>
      <w:bookmarkStart w:id="26" w:name="_Toc16294"/>
      <w:r>
        <w:rPr>
          <w:rStyle w:val="38"/>
          <w:rFonts w:hint="eastAsia" w:eastAsia="宋体"/>
          <w:lang w:val="en-US" w:eastAsia="zh-CN"/>
        </w:rPr>
        <w:t>附则</w:t>
      </w:r>
      <w:bookmarkEnd w:id="25"/>
      <w:bookmarkEnd w:id="26"/>
    </w:p>
    <w:p w14:paraId="282C941D">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bookmark14"/>
      <w:bookmarkEnd w:id="27"/>
      <w:bookmarkStart w:id="28" w:name="_Toc11581"/>
      <w:r>
        <w:rPr>
          <w:rFonts w:hint="eastAsia"/>
          <w:lang w:val="en-US" w:eastAsia="zh-CN"/>
        </w:rPr>
        <w:t>附件</w:t>
      </w:r>
      <w:bookmarkEnd w:id="28"/>
    </w:p>
    <w:p w14:paraId="5BCAA90E">
      <w:pPr>
        <w:pStyle w:val="29"/>
        <w:numPr>
          <w:ilvl w:val="0"/>
          <w:numId w:val="6"/>
        </w:numPr>
        <w:ind w:left="425" w:leftChars="0" w:hanging="425" w:firstLineChars="0"/>
        <w:rPr>
          <w:rFonts w:hint="default"/>
          <w:lang w:val="en-US" w:eastAsia="zh-CN"/>
        </w:rPr>
      </w:pPr>
      <w:r>
        <w:rPr>
          <w:rFonts w:hint="default"/>
          <w:lang w:val="en-US" w:eastAsia="zh-CN"/>
        </w:rPr>
        <w:t>《运维工具需求申请表》</w:t>
      </w:r>
    </w:p>
    <w:p w14:paraId="2D0F8A38">
      <w:pPr>
        <w:pStyle w:val="29"/>
        <w:numPr>
          <w:ilvl w:val="0"/>
          <w:numId w:val="6"/>
        </w:numPr>
        <w:ind w:left="425" w:leftChars="0" w:hanging="425" w:firstLineChars="0"/>
        <w:rPr>
          <w:rFonts w:hint="default"/>
          <w:lang w:val="en-US" w:eastAsia="zh-CN"/>
        </w:rPr>
      </w:pPr>
      <w:r>
        <w:rPr>
          <w:rFonts w:hint="default"/>
          <w:lang w:val="en-US" w:eastAsia="zh-CN"/>
        </w:rPr>
        <w:t>《运维工具试用评估报告》</w:t>
      </w:r>
    </w:p>
    <w:p w14:paraId="4209A8E2">
      <w:pPr>
        <w:pStyle w:val="29"/>
        <w:numPr>
          <w:ilvl w:val="0"/>
          <w:numId w:val="6"/>
        </w:numPr>
        <w:ind w:left="425" w:leftChars="0" w:hanging="425" w:firstLineChars="0"/>
        <w:rPr>
          <w:rFonts w:hint="default"/>
          <w:lang w:val="en-US" w:eastAsia="zh-CN"/>
        </w:rPr>
      </w:pPr>
      <w:r>
        <w:rPr>
          <w:rFonts w:hint="default"/>
          <w:lang w:val="en-US" w:eastAsia="zh-CN"/>
        </w:rPr>
        <w:t>《运维工具清单》（模板）</w:t>
      </w:r>
    </w:p>
    <w:p w14:paraId="7567EB63">
      <w:pPr>
        <w:pStyle w:val="29"/>
        <w:numPr>
          <w:ilvl w:val="0"/>
          <w:numId w:val="6"/>
        </w:numPr>
        <w:ind w:left="425" w:leftChars="0" w:hanging="425" w:firstLineChars="0"/>
        <w:rPr>
          <w:rFonts w:hint="default"/>
          <w:lang w:val="en-US" w:eastAsia="zh-CN"/>
        </w:rPr>
      </w:pPr>
      <w:r>
        <w:rPr>
          <w:rFonts w:hint="default"/>
          <w:lang w:val="en-US" w:eastAsia="zh-CN"/>
        </w:rPr>
        <w:t>《运维工具权限申请表》</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28072"/>
      <w:r>
        <w:rPr>
          <w:rFonts w:hint="eastAsia"/>
          <w:lang w:val="en-US" w:eastAsia="zh-CN"/>
        </w:rPr>
        <w:t>记录</w:t>
      </w:r>
      <w:bookmarkEnd w:id="29"/>
    </w:p>
    <w:p w14:paraId="05F117F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5772A"/>
    <w:multiLevelType w:val="singleLevel"/>
    <w:tmpl w:val="83F5772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8FF42926"/>
    <w:multiLevelType w:val="singleLevel"/>
    <w:tmpl w:val="8FF42926"/>
    <w:lvl w:ilvl="0" w:tentative="0">
      <w:start w:val="1"/>
      <w:numFmt w:val="decimal"/>
      <w:lvlText w:val="%1."/>
      <w:lvlJc w:val="left"/>
      <w:pPr>
        <w:ind w:left="425" w:hanging="425"/>
      </w:pPr>
      <w:rPr>
        <w:rFonts w:hint="default"/>
      </w:rPr>
    </w:lvl>
  </w:abstractNum>
  <w:abstractNum w:abstractNumId="3">
    <w:nsid w:val="B3F9C355"/>
    <w:multiLevelType w:val="singleLevel"/>
    <w:tmpl w:val="B3F9C355"/>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5748776A"/>
    <w:multiLevelType w:val="singleLevel"/>
    <w:tmpl w:val="5748776A"/>
    <w:lvl w:ilvl="0" w:tentative="0">
      <w:start w:val="1"/>
      <w:numFmt w:val="decimal"/>
      <w:lvlText w:val="%1."/>
      <w:lvlJc w:val="left"/>
      <w:pPr>
        <w:ind w:left="425" w:hanging="425"/>
      </w:pPr>
      <w:rPr>
        <w:rFont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771B68"/>
    <w:rsid w:val="0104303E"/>
    <w:rsid w:val="01E07299"/>
    <w:rsid w:val="0211124F"/>
    <w:rsid w:val="029C58B6"/>
    <w:rsid w:val="02CE3596"/>
    <w:rsid w:val="02EA4873"/>
    <w:rsid w:val="03125B78"/>
    <w:rsid w:val="040604A9"/>
    <w:rsid w:val="042D6A19"/>
    <w:rsid w:val="05980692"/>
    <w:rsid w:val="073D05DE"/>
    <w:rsid w:val="07660A33"/>
    <w:rsid w:val="080D4B60"/>
    <w:rsid w:val="09975029"/>
    <w:rsid w:val="09D65B51"/>
    <w:rsid w:val="09F2400E"/>
    <w:rsid w:val="09FC6C3A"/>
    <w:rsid w:val="0B21104E"/>
    <w:rsid w:val="0C2F4EE0"/>
    <w:rsid w:val="0C851169"/>
    <w:rsid w:val="0CC223BD"/>
    <w:rsid w:val="0CF12BAD"/>
    <w:rsid w:val="0F4F57A4"/>
    <w:rsid w:val="0FD115EF"/>
    <w:rsid w:val="103D10E9"/>
    <w:rsid w:val="11FD79F3"/>
    <w:rsid w:val="121F5BBC"/>
    <w:rsid w:val="127C6B6A"/>
    <w:rsid w:val="130628D8"/>
    <w:rsid w:val="131B2827"/>
    <w:rsid w:val="139879D4"/>
    <w:rsid w:val="13D604FC"/>
    <w:rsid w:val="14B42767"/>
    <w:rsid w:val="15CC7E09"/>
    <w:rsid w:val="15EC2259"/>
    <w:rsid w:val="16B0772A"/>
    <w:rsid w:val="170D06D9"/>
    <w:rsid w:val="17103D25"/>
    <w:rsid w:val="17710C68"/>
    <w:rsid w:val="17BE19D3"/>
    <w:rsid w:val="17DF25E3"/>
    <w:rsid w:val="18846779"/>
    <w:rsid w:val="18F465E3"/>
    <w:rsid w:val="19E020D4"/>
    <w:rsid w:val="1A9923D9"/>
    <w:rsid w:val="1AA940B2"/>
    <w:rsid w:val="1BC709D8"/>
    <w:rsid w:val="1D122855"/>
    <w:rsid w:val="1D997E65"/>
    <w:rsid w:val="1E692834"/>
    <w:rsid w:val="1EFD1033"/>
    <w:rsid w:val="1F666BD8"/>
    <w:rsid w:val="1FCB1131"/>
    <w:rsid w:val="204A3B16"/>
    <w:rsid w:val="20D91840"/>
    <w:rsid w:val="215C6FE4"/>
    <w:rsid w:val="23A26E72"/>
    <w:rsid w:val="23DD436C"/>
    <w:rsid w:val="23FD59BD"/>
    <w:rsid w:val="241A75B5"/>
    <w:rsid w:val="26AF70B6"/>
    <w:rsid w:val="26C427F2"/>
    <w:rsid w:val="28030205"/>
    <w:rsid w:val="2908648D"/>
    <w:rsid w:val="294F2DD3"/>
    <w:rsid w:val="2975663E"/>
    <w:rsid w:val="2A8B6C6D"/>
    <w:rsid w:val="2B612949"/>
    <w:rsid w:val="2E500F2E"/>
    <w:rsid w:val="2EDF0755"/>
    <w:rsid w:val="2F041F69"/>
    <w:rsid w:val="2F4D56BE"/>
    <w:rsid w:val="2FC11C09"/>
    <w:rsid w:val="31E9751F"/>
    <w:rsid w:val="333746BC"/>
    <w:rsid w:val="340A0022"/>
    <w:rsid w:val="346C0F8D"/>
    <w:rsid w:val="348953EB"/>
    <w:rsid w:val="35004A0C"/>
    <w:rsid w:val="350D601C"/>
    <w:rsid w:val="35DE67BA"/>
    <w:rsid w:val="36883480"/>
    <w:rsid w:val="36914A2B"/>
    <w:rsid w:val="3699743B"/>
    <w:rsid w:val="375F2433"/>
    <w:rsid w:val="37971BCD"/>
    <w:rsid w:val="37DF17C6"/>
    <w:rsid w:val="37E666B0"/>
    <w:rsid w:val="38630C94"/>
    <w:rsid w:val="388F572A"/>
    <w:rsid w:val="3914549F"/>
    <w:rsid w:val="39E62997"/>
    <w:rsid w:val="3C265C15"/>
    <w:rsid w:val="3D5F4115"/>
    <w:rsid w:val="3E285C74"/>
    <w:rsid w:val="3E287A22"/>
    <w:rsid w:val="3E5A3954"/>
    <w:rsid w:val="3ECF7E9E"/>
    <w:rsid w:val="3F2D2E17"/>
    <w:rsid w:val="3FAD35AC"/>
    <w:rsid w:val="40646D0C"/>
    <w:rsid w:val="406E0CBE"/>
    <w:rsid w:val="40873B7A"/>
    <w:rsid w:val="40B11D0C"/>
    <w:rsid w:val="41DA54D8"/>
    <w:rsid w:val="426164FC"/>
    <w:rsid w:val="42786A9F"/>
    <w:rsid w:val="43223C0F"/>
    <w:rsid w:val="4368266F"/>
    <w:rsid w:val="43996CCD"/>
    <w:rsid w:val="43D9531B"/>
    <w:rsid w:val="45EE5265"/>
    <w:rsid w:val="46BF2EEE"/>
    <w:rsid w:val="472B0583"/>
    <w:rsid w:val="47BB1907"/>
    <w:rsid w:val="484F2050"/>
    <w:rsid w:val="48943F06"/>
    <w:rsid w:val="48FA020D"/>
    <w:rsid w:val="49B33C44"/>
    <w:rsid w:val="49CC1B61"/>
    <w:rsid w:val="4BFB76A0"/>
    <w:rsid w:val="4D1711C1"/>
    <w:rsid w:val="4E0B149B"/>
    <w:rsid w:val="4F6F1974"/>
    <w:rsid w:val="503F29AA"/>
    <w:rsid w:val="50BE0A71"/>
    <w:rsid w:val="511C5981"/>
    <w:rsid w:val="51F0261E"/>
    <w:rsid w:val="51FF0801"/>
    <w:rsid w:val="52B458D1"/>
    <w:rsid w:val="5486504B"/>
    <w:rsid w:val="54CB7E3C"/>
    <w:rsid w:val="55AC0AE1"/>
    <w:rsid w:val="56114DE8"/>
    <w:rsid w:val="5632548A"/>
    <w:rsid w:val="58675193"/>
    <w:rsid w:val="5A6610C0"/>
    <w:rsid w:val="5B0B0058"/>
    <w:rsid w:val="5B85605C"/>
    <w:rsid w:val="5D0D6A04"/>
    <w:rsid w:val="5D2E6280"/>
    <w:rsid w:val="5D6677C8"/>
    <w:rsid w:val="5E6A32E8"/>
    <w:rsid w:val="5ED46BCE"/>
    <w:rsid w:val="5EFB71CC"/>
    <w:rsid w:val="5F7F1015"/>
    <w:rsid w:val="613E7799"/>
    <w:rsid w:val="61B7162F"/>
    <w:rsid w:val="6200643D"/>
    <w:rsid w:val="62141EE8"/>
    <w:rsid w:val="62312EF8"/>
    <w:rsid w:val="640721AA"/>
    <w:rsid w:val="6481324A"/>
    <w:rsid w:val="652A5B5F"/>
    <w:rsid w:val="657F3B1C"/>
    <w:rsid w:val="659C092C"/>
    <w:rsid w:val="65C43C25"/>
    <w:rsid w:val="678C0773"/>
    <w:rsid w:val="68804644"/>
    <w:rsid w:val="698F3ABF"/>
    <w:rsid w:val="69DB53BE"/>
    <w:rsid w:val="6BAD2A66"/>
    <w:rsid w:val="6BF30DC0"/>
    <w:rsid w:val="6D834437"/>
    <w:rsid w:val="6DB46CBB"/>
    <w:rsid w:val="6DE24C48"/>
    <w:rsid w:val="6E6623CD"/>
    <w:rsid w:val="6F887A72"/>
    <w:rsid w:val="6FD66A2F"/>
    <w:rsid w:val="70922C4A"/>
    <w:rsid w:val="711772FF"/>
    <w:rsid w:val="713003C1"/>
    <w:rsid w:val="7141437C"/>
    <w:rsid w:val="719B7F30"/>
    <w:rsid w:val="73593BFF"/>
    <w:rsid w:val="73644352"/>
    <w:rsid w:val="73C7661F"/>
    <w:rsid w:val="75F93E43"/>
    <w:rsid w:val="76960176"/>
    <w:rsid w:val="76F6721A"/>
    <w:rsid w:val="776C1A27"/>
    <w:rsid w:val="783E1615"/>
    <w:rsid w:val="78CA2EA9"/>
    <w:rsid w:val="78D1021F"/>
    <w:rsid w:val="7A1940E8"/>
    <w:rsid w:val="7A2F7467"/>
    <w:rsid w:val="7A5C5D83"/>
    <w:rsid w:val="7AF366E7"/>
    <w:rsid w:val="7B4E6013"/>
    <w:rsid w:val="7B5C70B9"/>
    <w:rsid w:val="7B8F7CB3"/>
    <w:rsid w:val="7C066719"/>
    <w:rsid w:val="7C434C07"/>
    <w:rsid w:val="7D0C7F34"/>
    <w:rsid w:val="7DA168CE"/>
    <w:rsid w:val="7DF905A7"/>
    <w:rsid w:val="7E086FD3"/>
    <w:rsid w:val="7E186387"/>
    <w:rsid w:val="7E4D4360"/>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2383</Words>
  <Characters>2570</Characters>
  <Lines>0</Lines>
  <Paragraphs>0</Paragraphs>
  <TotalTime>0</TotalTime>
  <ScaleCrop>false</ScaleCrop>
  <LinksUpToDate>false</LinksUpToDate>
  <CharactersWithSpaces>2696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2025-10-26T19:14:16Z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