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4A6FA79">
      <w:pPr>
        <w:pStyle w:val="24"/>
        <w:keepNext w:val="0"/>
        <w:keepLines w:val="0"/>
        <w:pageBreakBefore w:val="0"/>
        <w:widowControl w:val="0"/>
        <w:kinsoku w:val="0"/>
        <w:wordWrap/>
        <w:overflowPunct/>
        <w:topLinePunct w:val="0"/>
        <w:autoSpaceDE w:val="0"/>
        <w:autoSpaceDN w:val="0"/>
        <w:bidi w:val="0"/>
        <w:adjustRightInd w:val="0"/>
        <w:snapToGrid w:val="0"/>
        <w:spacing w:before="3121" w:beforeLines="1000"/>
        <w:textAlignment w:val="baseline"/>
      </w:pPr>
      <w:bookmarkStart w:id="0" w:name="_Toc260"/>
      <w:r>
        <w:rPr>
          <w:rFonts w:hint="eastAsia"/>
          <w:lang w:val="en-US" w:eastAsia="zh-CN"/>
        </w:rPr>
        <w:drawing>
          <wp:anchor distT="0" distB="0" distL="114300" distR="114300" simplePos="0" relativeHeight="251659264" behindDoc="1" locked="0" layoutInCell="1" allowOverlap="1">
            <wp:simplePos x="0" y="0"/>
            <wp:positionH relativeFrom="column">
              <wp:posOffset>635</wp:posOffset>
            </wp:positionH>
            <wp:positionV relativeFrom="paragraph">
              <wp:posOffset>3810</wp:posOffset>
            </wp:positionV>
            <wp:extent cx="5269865" cy="8856980"/>
            <wp:effectExtent l="0" t="0" r="3175" b="12700"/>
            <wp:wrapNone/>
            <wp:docPr id="2" name="图片 2" descr="微信图片_20250926153852_981_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微信图片_20250926153852_981_83"/>
                    <pic:cNvPicPr>
                      <a:picLocks noChangeAspect="1"/>
                    </pic:cNvPicPr>
                  </pic:nvPicPr>
                  <pic:blipFill>
                    <a:blip r:embed="rId7">
                      <a:alphaModFix amt="58000"/>
                      <a:lum contrast="-52000"/>
                    </a:blip>
                    <a:stretch>
                      <a:fillRect/>
                    </a:stretch>
                  </pic:blipFill>
                  <pic:spPr>
                    <a:xfrm>
                      <a:off x="0" y="0"/>
                      <a:ext cx="5269865" cy="8856980"/>
                    </a:xfrm>
                    <a:prstGeom prst="rect">
                      <a:avLst/>
                    </a:prstGeom>
                  </pic:spPr>
                </pic:pic>
              </a:graphicData>
            </a:graphic>
          </wp:anchor>
        </w:drawing>
      </w:r>
      <w:r>
        <w:rPr>
          <w:rFonts w:hint="eastAsia"/>
          <w:lang w:val="en-US" w:eastAsia="zh-CN"/>
        </w:rPr>
        <w:t>阿克苏智汇人才服务有限</w:t>
      </w:r>
      <w:r>
        <w:t>公司</w:t>
      </w:r>
      <w:bookmarkEnd w:id="0"/>
    </w:p>
    <w:p w14:paraId="1CA859AD">
      <w:pPr>
        <w:pStyle w:val="25"/>
        <w:keepNext w:val="0"/>
        <w:keepLines w:val="0"/>
        <w:pageBreakBefore w:val="0"/>
        <w:widowControl w:val="0"/>
        <w:kinsoku w:val="0"/>
        <w:wordWrap/>
        <w:overflowPunct/>
        <w:topLinePunct w:val="0"/>
        <w:autoSpaceDE w:val="0"/>
        <w:autoSpaceDN w:val="0"/>
        <w:bidi w:val="0"/>
        <w:adjustRightInd w:val="0"/>
        <w:snapToGrid w:val="0"/>
        <w:spacing w:before="0" w:after="625" w:afterLines="200"/>
        <w:textAlignment w:val="baseline"/>
        <w:rPr>
          <w:rFonts w:hint="eastAsia"/>
          <w:lang w:val="en-US" w:eastAsia="zh-CN"/>
        </w:rPr>
      </w:pPr>
      <w:bookmarkStart w:id="1" w:name="_Toc27520"/>
      <w:r>
        <w:rPr>
          <w:rFonts w:hint="eastAsia"/>
          <w:lang w:val="en-US" w:eastAsia="zh-CN"/>
        </w:rPr>
        <w:t>服务知识管理制度</w:t>
      </w:r>
      <w:bookmarkEnd w:id="1"/>
    </w:p>
    <w:p w14:paraId="5C99E7F3">
      <w:pPr>
        <w:keepNext w:val="0"/>
        <w:keepLines w:val="0"/>
        <w:pageBreakBefore w:val="0"/>
        <w:widowControl w:val="0"/>
        <w:kinsoku w:val="0"/>
        <w:wordWrap/>
        <w:overflowPunct/>
        <w:topLinePunct w:val="0"/>
        <w:autoSpaceDE w:val="0"/>
        <w:autoSpaceDN w:val="0"/>
        <w:bidi w:val="0"/>
        <w:adjustRightInd w:val="0"/>
        <w:snapToGrid w:val="0"/>
        <w:spacing w:after="625" w:afterLines="200" w:line="219" w:lineRule="auto"/>
        <w:ind w:left="0" w:leftChars="0" w:right="0" w:rightChars="0" w:firstLine="0" w:firstLineChars="0"/>
        <w:jc w:val="center"/>
        <w:textAlignment w:val="baseline"/>
        <w:rPr>
          <w:rFonts w:hint="eastAsia" w:ascii="宋体" w:hAnsi="宋体" w:eastAsia="宋体" w:cs="宋体"/>
          <w:sz w:val="24"/>
          <w:szCs w:val="24"/>
          <w:lang w:val="en-US" w:eastAsia="zh-CN"/>
        </w:rPr>
      </w:pPr>
      <w:r>
        <w:rPr>
          <w:rFonts w:ascii="宋体" w:hAnsi="宋体" w:eastAsia="宋体" w:cs="宋体"/>
          <w:b/>
          <w:bCs/>
          <w:spacing w:val="-3"/>
          <w:sz w:val="24"/>
          <w:szCs w:val="24"/>
        </w:rPr>
        <w:t>文件编号：</w:t>
      </w:r>
      <w:r>
        <w:rPr>
          <w:rFonts w:hint="eastAsia" w:ascii="宋体" w:hAnsi="宋体" w:eastAsia="宋体" w:cs="宋体"/>
          <w:b/>
          <w:bCs/>
          <w:spacing w:val="-3"/>
          <w:sz w:val="24"/>
          <w:szCs w:val="24"/>
          <w:lang w:val="en-US" w:eastAsia="zh-CN"/>
        </w:rPr>
        <w:t>ZHRC</w:t>
      </w:r>
      <w:r>
        <w:rPr>
          <w:rFonts w:ascii="宋体" w:hAnsi="宋体" w:eastAsia="宋体" w:cs="宋体"/>
          <w:b/>
          <w:bCs/>
          <w:spacing w:val="-3"/>
          <w:sz w:val="24"/>
          <w:szCs w:val="24"/>
        </w:rPr>
        <w:t>-0</w:t>
      </w:r>
      <w:r>
        <w:rPr>
          <w:rFonts w:hint="eastAsia" w:ascii="宋体" w:hAnsi="宋体" w:cs="宋体"/>
          <w:b/>
          <w:bCs/>
          <w:spacing w:val="-3"/>
          <w:sz w:val="24"/>
          <w:szCs w:val="24"/>
          <w:lang w:val="en-US" w:eastAsia="zh-CN"/>
        </w:rPr>
        <w:t>4</w:t>
      </w:r>
      <w:r>
        <w:rPr>
          <w:rFonts w:ascii="宋体" w:hAnsi="宋体" w:eastAsia="宋体" w:cs="宋体"/>
          <w:b/>
          <w:bCs/>
          <w:spacing w:val="-3"/>
          <w:sz w:val="24"/>
          <w:szCs w:val="24"/>
        </w:rPr>
        <w:t>-0</w:t>
      </w:r>
      <w:r>
        <w:rPr>
          <w:rFonts w:hint="eastAsia" w:ascii="宋体" w:hAnsi="宋体" w:cs="宋体"/>
          <w:b/>
          <w:bCs/>
          <w:spacing w:val="-3"/>
          <w:sz w:val="24"/>
          <w:szCs w:val="24"/>
          <w:lang w:val="en-US" w:eastAsia="zh-CN"/>
        </w:rPr>
        <w:t>4</w:t>
      </w:r>
    </w:p>
    <w:tbl>
      <w:tblPr>
        <w:tblStyle w:val="21"/>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432"/>
        <w:gridCol w:w="2708"/>
      </w:tblGrid>
      <w:tr w14:paraId="42161AB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jc w:val="center"/>
        </w:trPr>
        <w:tc>
          <w:tcPr>
            <w:tcW w:w="2432" w:type="dxa"/>
          </w:tcPr>
          <w:p w14:paraId="47F44E04">
            <w:pPr>
              <w:keepNext w:val="0"/>
              <w:keepLines w:val="0"/>
              <w:pageBreakBefore w:val="0"/>
              <w:widowControl w:val="0"/>
              <w:kinsoku w:val="0"/>
              <w:wordWrap/>
              <w:overflowPunct/>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编制部门</w:t>
            </w:r>
            <w:r>
              <w:rPr>
                <w:rFonts w:hint="default" w:asciiTheme="minorAscii" w:hAnsiTheme="minorAscii" w:eastAsiaTheme="minorEastAsia"/>
                <w:spacing w:val="227"/>
                <w:sz w:val="21"/>
                <w:vertAlign w:val="baseline"/>
                <w:lang w:val="en-US" w:eastAsia="zh-CN"/>
              </w:rPr>
              <w:t>:</w:t>
            </w:r>
            <w:r>
              <w:rPr>
                <w:rFonts w:hint="eastAsia"/>
                <w:u w:val="single"/>
                <w:vertAlign w:val="baseline"/>
                <w:lang w:val="en-US" w:eastAsia="zh-CN"/>
              </w:rPr>
              <w:t>运维部</w:t>
            </w:r>
          </w:p>
        </w:tc>
        <w:tc>
          <w:tcPr>
            <w:tcW w:w="2708" w:type="dxa"/>
          </w:tcPr>
          <w:p w14:paraId="527A6876">
            <w:pPr>
              <w:keepNext w:val="0"/>
              <w:keepLines w:val="0"/>
              <w:pageBreakBefore w:val="0"/>
              <w:widowControl w:val="0"/>
              <w:kinsoku w:val="0"/>
              <w:wordWrap/>
              <w:overflowPunct/>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编制时间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2025.04.10</w:t>
            </w:r>
          </w:p>
        </w:tc>
      </w:tr>
      <w:tr w14:paraId="5E04634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jc w:val="center"/>
        </w:trPr>
        <w:tc>
          <w:tcPr>
            <w:tcW w:w="2432" w:type="dxa"/>
            <w:shd w:val="clear" w:color="auto" w:fill="auto"/>
          </w:tcPr>
          <w:p w14:paraId="2740D4D4">
            <w:pPr>
              <w:keepNext w:val="0"/>
              <w:keepLines w:val="0"/>
              <w:pageBreakBefore w:val="0"/>
              <w:widowControl w:val="0"/>
              <w:kinsoku w:val="0"/>
              <w:wordWrap/>
              <w:overflowPunct/>
              <w:autoSpaceDE w:val="0"/>
              <w:autoSpaceDN w:val="0"/>
              <w:bidi w:val="0"/>
              <w:adjustRightInd w:val="0"/>
              <w:snapToGrid w:val="0"/>
              <w:textAlignment w:val="baseline"/>
              <w:rPr>
                <w:rFonts w:hint="default" w:ascii="Arial" w:hAnsi="Arial" w:eastAsia="Arial" w:cs="Arial"/>
                <w:snapToGrid w:val="0"/>
                <w:color w:val="000000"/>
                <w:kern w:val="0"/>
                <w:sz w:val="21"/>
                <w:szCs w:val="21"/>
                <w:vertAlign w:val="baseline"/>
                <w:lang w:val="en-US" w:eastAsia="zh-CN" w:bidi="ar-SA"/>
              </w:rPr>
            </w:pPr>
            <w:r>
              <w:rPr>
                <w:rFonts w:hint="eastAsia"/>
                <w:spacing w:val="210"/>
                <w:kern w:val="0"/>
                <w:fitText w:val="840" w:id="1984234543"/>
                <w:vertAlign w:val="baseline"/>
                <w:lang w:val="en-US" w:eastAsia="zh-CN"/>
              </w:rPr>
              <w:t>版</w:t>
            </w:r>
            <w:r>
              <w:rPr>
                <w:rFonts w:hint="eastAsia"/>
                <w:spacing w:val="0"/>
                <w:kern w:val="0"/>
                <w:fitText w:val="840" w:id="1984234543"/>
                <w:vertAlign w:val="baseline"/>
                <w:lang w:val="en-US" w:eastAsia="zh-CN"/>
              </w:rPr>
              <w:t>本</w:t>
            </w:r>
            <w:r>
              <w:rPr>
                <w:rFonts w:hint="default" w:asciiTheme="minorAscii" w:hAnsiTheme="minorAscii" w:eastAsiaTheme="minorEastAsia"/>
                <w:spacing w:val="227"/>
                <w:sz w:val="21"/>
                <w:vertAlign w:val="baseline"/>
                <w:lang w:val="en-US" w:eastAsia="zh-CN"/>
              </w:rPr>
              <w:t>:</w:t>
            </w:r>
            <w:r>
              <w:rPr>
                <w:rFonts w:hint="eastAsia"/>
                <w:spacing w:val="66"/>
                <w:kern w:val="0"/>
                <w:u w:val="single"/>
                <w:fitText w:val="630" w:id="1331981115"/>
                <w:vertAlign w:val="baseline"/>
                <w:lang w:val="en-US" w:eastAsia="zh-CN"/>
              </w:rPr>
              <w:t>V1.</w:t>
            </w:r>
            <w:r>
              <w:rPr>
                <w:rFonts w:hint="eastAsia"/>
                <w:spacing w:val="0"/>
                <w:kern w:val="0"/>
                <w:u w:val="single"/>
                <w:fitText w:val="630" w:id="1331981115"/>
                <w:vertAlign w:val="baseline"/>
                <w:lang w:val="en-US" w:eastAsia="zh-CN"/>
              </w:rPr>
              <w:t>0</w:t>
            </w:r>
          </w:p>
        </w:tc>
        <w:tc>
          <w:tcPr>
            <w:tcW w:w="2708" w:type="dxa"/>
            <w:shd w:val="clear" w:color="auto" w:fill="auto"/>
          </w:tcPr>
          <w:p w14:paraId="36398C7E">
            <w:pPr>
              <w:keepNext w:val="0"/>
              <w:keepLines w:val="0"/>
              <w:pageBreakBefore w:val="0"/>
              <w:widowControl w:val="0"/>
              <w:kinsoku w:val="0"/>
              <w:wordWrap/>
              <w:overflowPunct/>
              <w:autoSpaceDE w:val="0"/>
              <w:autoSpaceDN w:val="0"/>
              <w:bidi w:val="0"/>
              <w:adjustRightInd w:val="0"/>
              <w:snapToGrid w:val="0"/>
              <w:textAlignment w:val="baseline"/>
              <w:rPr>
                <w:rFonts w:hint="default" w:ascii="Arial" w:hAnsi="Arial" w:eastAsia="Arial" w:cs="Arial"/>
                <w:snapToGrid w:val="0"/>
                <w:color w:val="000000"/>
                <w:kern w:val="0"/>
                <w:sz w:val="21"/>
                <w:szCs w:val="21"/>
                <w:vertAlign w:val="baseline"/>
                <w:lang w:val="en-US" w:eastAsia="zh-CN" w:bidi="ar-SA"/>
              </w:rPr>
            </w:pPr>
            <w:r>
              <w:rPr>
                <w:rFonts w:hint="eastAsia"/>
                <w:vertAlign w:val="baseline"/>
                <w:lang w:val="en-US" w:eastAsia="zh-CN"/>
              </w:rPr>
              <w:t>编制时间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2025.04.10</w:t>
            </w:r>
          </w:p>
        </w:tc>
      </w:tr>
      <w:tr w14:paraId="40129E9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35" w:hRule="atLeast"/>
          <w:jc w:val="center"/>
        </w:trPr>
        <w:tc>
          <w:tcPr>
            <w:tcW w:w="2432" w:type="dxa"/>
          </w:tcPr>
          <w:p w14:paraId="5A927578">
            <w:pPr>
              <w:keepNext w:val="0"/>
              <w:keepLines w:val="0"/>
              <w:pageBreakBefore w:val="0"/>
              <w:widowControl w:val="0"/>
              <w:kinsoku w:val="0"/>
              <w:wordWrap/>
              <w:overflowPunct/>
              <w:autoSpaceDE w:val="0"/>
              <w:autoSpaceDN w:val="0"/>
              <w:bidi w:val="0"/>
              <w:adjustRightInd w:val="0"/>
              <w:snapToGrid w:val="0"/>
              <w:textAlignment w:val="baseline"/>
              <w:rPr>
                <w:rFonts w:hint="default"/>
                <w:vertAlign w:val="baseline"/>
                <w:lang w:val="en-US" w:eastAsia="zh-CN"/>
              </w:rPr>
            </w:pPr>
            <w:r>
              <w:rPr>
                <w:rFonts w:hint="eastAsia"/>
                <w:spacing w:val="52"/>
                <w:kern w:val="0"/>
                <w:fitText w:val="840" w:id="722747876"/>
                <w:vertAlign w:val="baseline"/>
                <w:lang w:val="en-US" w:eastAsia="zh-CN"/>
              </w:rPr>
              <w:t>批准</w:t>
            </w:r>
            <w:r>
              <w:rPr>
                <w:rFonts w:hint="eastAsia"/>
                <w:spacing w:val="1"/>
                <w:kern w:val="0"/>
                <w:fitText w:val="840" w:id="722747876"/>
                <w:vertAlign w:val="baseline"/>
                <w:lang w:val="en-US" w:eastAsia="zh-CN"/>
              </w:rPr>
              <w:t>人</w:t>
            </w:r>
            <w:r>
              <w:rPr>
                <w:rFonts w:hint="eastAsia" w:asciiTheme="minorAscii" w:hAnsiTheme="minorAscii" w:eastAsiaTheme="minorEastAsia"/>
                <w:spacing w:val="227"/>
                <w:sz w:val="21"/>
                <w:vertAlign w:val="baseline"/>
                <w:lang w:val="en-US" w:eastAsia="zh-CN"/>
              </w:rPr>
              <w:t>:</w:t>
            </w:r>
            <w:r>
              <w:rPr>
                <w:rFonts w:hint="eastAsia" w:asciiTheme="minorAscii" w:hAnsiTheme="minorAscii" w:eastAsiaTheme="minorEastAsia"/>
                <w:spacing w:val="105"/>
                <w:kern w:val="0"/>
                <w:sz w:val="21"/>
                <w:u w:val="single"/>
                <w:fitText w:val="630" w:id="676873217"/>
                <w:vertAlign w:val="baseline"/>
                <w:lang w:val="en-US" w:eastAsia="zh-CN"/>
              </w:rPr>
              <w:t>任</w:t>
            </w:r>
            <w:r>
              <w:rPr>
                <w:rFonts w:hint="eastAsia" w:asciiTheme="minorAscii" w:hAnsiTheme="minorAscii" w:eastAsiaTheme="minorEastAsia"/>
                <w:spacing w:val="0"/>
                <w:kern w:val="0"/>
                <w:sz w:val="21"/>
                <w:u w:val="single"/>
                <w:fitText w:val="630" w:id="676873217"/>
                <w:vertAlign w:val="baseline"/>
                <w:lang w:val="en-US" w:eastAsia="zh-CN"/>
              </w:rPr>
              <w:t>鸿</w:t>
            </w:r>
          </w:p>
        </w:tc>
        <w:tc>
          <w:tcPr>
            <w:tcW w:w="2708" w:type="dxa"/>
          </w:tcPr>
          <w:p w14:paraId="370F750B">
            <w:pPr>
              <w:keepNext w:val="0"/>
              <w:keepLines w:val="0"/>
              <w:pageBreakBefore w:val="0"/>
              <w:widowControl w:val="0"/>
              <w:kinsoku w:val="0"/>
              <w:wordWrap/>
              <w:overflowPunct/>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审批时间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2025.04.10</w:t>
            </w:r>
          </w:p>
        </w:tc>
      </w:tr>
    </w:tbl>
    <w:p w14:paraId="1DEAC454">
      <w:pPr>
        <w:keepNext w:val="0"/>
        <w:keepLines w:val="0"/>
        <w:pageBreakBefore w:val="0"/>
        <w:widowControl w:val="0"/>
        <w:kinsoku w:val="0"/>
        <w:wordWrap/>
        <w:overflowPunct/>
        <w:autoSpaceDE w:val="0"/>
        <w:autoSpaceDN w:val="0"/>
        <w:bidi w:val="0"/>
        <w:adjustRightInd w:val="0"/>
        <w:snapToGrid w:val="0"/>
        <w:textAlignment w:val="baseline"/>
      </w:pPr>
      <w:r>
        <w:br w:type="page"/>
      </w:r>
    </w:p>
    <w:p w14:paraId="36153578">
      <w:pPr>
        <w:keepNext w:val="0"/>
        <w:keepLines w:val="0"/>
        <w:pageBreakBefore w:val="0"/>
        <w:widowControl w:val="0"/>
        <w:kinsoku w:val="0"/>
        <w:wordWrap/>
        <w:overflowPunct/>
        <w:autoSpaceDE w:val="0"/>
        <w:autoSpaceDN w:val="0"/>
        <w:bidi w:val="0"/>
        <w:adjustRightInd w:val="0"/>
        <w:snapToGrid w:val="0"/>
        <w:spacing w:before="153" w:line="225" w:lineRule="auto"/>
        <w:ind w:left="3634"/>
        <w:textAlignment w:val="baseline"/>
        <w:rPr>
          <w:rFonts w:ascii="宋体" w:hAnsi="宋体" w:eastAsia="宋体" w:cs="宋体"/>
          <w:sz w:val="31"/>
          <w:szCs w:val="31"/>
        </w:rPr>
      </w:pPr>
      <w:r>
        <w:rPr>
          <w:rFonts w:ascii="宋体" w:hAnsi="宋体" w:eastAsia="宋体" w:cs="宋体"/>
          <w:b/>
          <w:bCs/>
          <w:spacing w:val="4"/>
          <w:sz w:val="31"/>
          <w:szCs w:val="31"/>
        </w:rPr>
        <w:t>修订记录</w:t>
      </w:r>
    </w:p>
    <w:tbl>
      <w:tblPr>
        <w:tblStyle w:val="26"/>
        <w:tblW w:w="7137" w:type="dxa"/>
        <w:jc w:val="center"/>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2689"/>
        <w:gridCol w:w="919"/>
        <w:gridCol w:w="2289"/>
        <w:gridCol w:w="1240"/>
      </w:tblGrid>
      <w:tr w14:paraId="6544A00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93" w:hRule="atLeast"/>
          <w:jc w:val="center"/>
        </w:trPr>
        <w:tc>
          <w:tcPr>
            <w:tcW w:w="2689" w:type="dxa"/>
          </w:tcPr>
          <w:p w14:paraId="4FB3B2CA">
            <w:pPr>
              <w:keepNext w:val="0"/>
              <w:keepLines w:val="0"/>
              <w:pageBreakBefore w:val="0"/>
              <w:widowControl w:val="0"/>
              <w:kinsoku w:val="0"/>
              <w:wordWrap/>
              <w:overflowPunct/>
              <w:autoSpaceDE w:val="0"/>
              <w:autoSpaceDN w:val="0"/>
              <w:bidi w:val="0"/>
              <w:adjustRightInd w:val="0"/>
              <w:snapToGrid w:val="0"/>
              <w:spacing w:before="176" w:line="228"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14"/>
                <w:sz w:val="20"/>
                <w:szCs w:val="20"/>
              </w:rPr>
              <w:t>日期</w:t>
            </w:r>
          </w:p>
        </w:tc>
        <w:tc>
          <w:tcPr>
            <w:tcW w:w="919" w:type="dxa"/>
          </w:tcPr>
          <w:p w14:paraId="778067E3">
            <w:pPr>
              <w:keepNext w:val="0"/>
              <w:keepLines w:val="0"/>
              <w:pageBreakBefore w:val="0"/>
              <w:widowControl w:val="0"/>
              <w:kinsoku w:val="0"/>
              <w:wordWrap/>
              <w:overflowPunct/>
              <w:autoSpaceDE w:val="0"/>
              <w:autoSpaceDN w:val="0"/>
              <w:bidi w:val="0"/>
              <w:adjustRightInd w:val="0"/>
              <w:snapToGrid w:val="0"/>
              <w:spacing w:before="175" w:line="227"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4"/>
                <w:sz w:val="20"/>
                <w:szCs w:val="20"/>
              </w:rPr>
              <w:t>版本</w:t>
            </w:r>
          </w:p>
        </w:tc>
        <w:tc>
          <w:tcPr>
            <w:tcW w:w="2289" w:type="dxa"/>
          </w:tcPr>
          <w:p w14:paraId="4D1CA809">
            <w:pPr>
              <w:keepNext w:val="0"/>
              <w:keepLines w:val="0"/>
              <w:pageBreakBefore w:val="0"/>
              <w:widowControl w:val="0"/>
              <w:kinsoku w:val="0"/>
              <w:wordWrap/>
              <w:overflowPunct/>
              <w:autoSpaceDE w:val="0"/>
              <w:autoSpaceDN w:val="0"/>
              <w:bidi w:val="0"/>
              <w:adjustRightInd w:val="0"/>
              <w:snapToGrid w:val="0"/>
              <w:spacing w:before="175" w:line="228"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7"/>
                <w:sz w:val="20"/>
                <w:szCs w:val="20"/>
              </w:rPr>
              <w:t>变更说明</w:t>
            </w:r>
          </w:p>
        </w:tc>
        <w:tc>
          <w:tcPr>
            <w:tcW w:w="1240" w:type="dxa"/>
          </w:tcPr>
          <w:p w14:paraId="5C6967C0">
            <w:pPr>
              <w:keepNext w:val="0"/>
              <w:keepLines w:val="0"/>
              <w:pageBreakBefore w:val="0"/>
              <w:widowControl w:val="0"/>
              <w:kinsoku w:val="0"/>
              <w:wordWrap/>
              <w:overflowPunct/>
              <w:autoSpaceDE w:val="0"/>
              <w:autoSpaceDN w:val="0"/>
              <w:bidi w:val="0"/>
              <w:adjustRightInd w:val="0"/>
              <w:snapToGrid w:val="0"/>
              <w:spacing w:before="176" w:line="229"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7"/>
                <w:sz w:val="20"/>
                <w:szCs w:val="20"/>
              </w:rPr>
              <w:t>批准人</w:t>
            </w:r>
          </w:p>
        </w:tc>
      </w:tr>
      <w:tr w14:paraId="631C0F8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16" w:hRule="atLeast"/>
          <w:jc w:val="center"/>
        </w:trPr>
        <w:tc>
          <w:tcPr>
            <w:tcW w:w="2689" w:type="dxa"/>
          </w:tcPr>
          <w:p w14:paraId="2EE12DAC">
            <w:pPr>
              <w:keepNext w:val="0"/>
              <w:keepLines w:val="0"/>
              <w:pageBreakBefore w:val="0"/>
              <w:widowControl w:val="0"/>
              <w:kinsoku w:val="0"/>
              <w:wordWrap/>
              <w:overflowPunct/>
              <w:autoSpaceDE w:val="0"/>
              <w:autoSpaceDN w:val="0"/>
              <w:bidi w:val="0"/>
              <w:adjustRightInd w:val="0"/>
              <w:snapToGrid w:val="0"/>
              <w:spacing w:before="173" w:line="267" w:lineRule="exact"/>
              <w:ind w:left="0" w:leftChars="0" w:right="0" w:rightChars="0" w:firstLine="0" w:firstLineChars="0"/>
              <w:jc w:val="center"/>
              <w:textAlignment w:val="baseline"/>
              <w:rPr>
                <w:rFonts w:hint="default" w:ascii="宋体" w:hAnsi="宋体" w:eastAsia="宋体" w:cs="宋体"/>
                <w:sz w:val="20"/>
                <w:szCs w:val="20"/>
                <w:lang w:val="en-US" w:eastAsia="zh-CN"/>
              </w:rPr>
            </w:pPr>
            <w:r>
              <w:rPr>
                <w:rFonts w:ascii="宋体" w:hAnsi="宋体" w:eastAsia="宋体" w:cs="宋体"/>
                <w:spacing w:val="3"/>
                <w:position w:val="1"/>
                <w:sz w:val="20"/>
                <w:szCs w:val="20"/>
              </w:rPr>
              <w:t>2025.0</w:t>
            </w:r>
            <w:r>
              <w:rPr>
                <w:rFonts w:hint="eastAsia" w:ascii="宋体" w:hAnsi="宋体" w:cs="宋体"/>
                <w:spacing w:val="3"/>
                <w:position w:val="1"/>
                <w:sz w:val="20"/>
                <w:szCs w:val="20"/>
                <w:lang w:val="en-US" w:eastAsia="zh-CN"/>
              </w:rPr>
              <w:t>4</w:t>
            </w:r>
            <w:r>
              <w:rPr>
                <w:rFonts w:ascii="宋体" w:hAnsi="宋体" w:eastAsia="宋体" w:cs="宋体"/>
                <w:spacing w:val="3"/>
                <w:position w:val="1"/>
                <w:sz w:val="20"/>
                <w:szCs w:val="20"/>
              </w:rPr>
              <w:t>.</w:t>
            </w:r>
            <w:r>
              <w:rPr>
                <w:rFonts w:hint="eastAsia" w:ascii="宋体" w:hAnsi="宋体" w:cs="宋体"/>
                <w:spacing w:val="3"/>
                <w:position w:val="1"/>
                <w:sz w:val="20"/>
                <w:szCs w:val="20"/>
                <w:lang w:val="en-US" w:eastAsia="zh-CN"/>
              </w:rPr>
              <w:t>10</w:t>
            </w:r>
          </w:p>
        </w:tc>
        <w:tc>
          <w:tcPr>
            <w:tcW w:w="919" w:type="dxa"/>
          </w:tcPr>
          <w:p w14:paraId="10AEB2A2">
            <w:pPr>
              <w:keepNext w:val="0"/>
              <w:keepLines w:val="0"/>
              <w:pageBreakBefore w:val="0"/>
              <w:widowControl w:val="0"/>
              <w:kinsoku w:val="0"/>
              <w:wordWrap/>
              <w:overflowPunct/>
              <w:autoSpaceDE w:val="0"/>
              <w:autoSpaceDN w:val="0"/>
              <w:bidi w:val="0"/>
              <w:adjustRightInd w:val="0"/>
              <w:snapToGrid w:val="0"/>
              <w:spacing w:before="173" w:line="267" w:lineRule="exact"/>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4"/>
                <w:position w:val="1"/>
                <w:sz w:val="20"/>
                <w:szCs w:val="20"/>
              </w:rPr>
              <w:t>V1.0</w:t>
            </w:r>
          </w:p>
        </w:tc>
        <w:tc>
          <w:tcPr>
            <w:tcW w:w="2289" w:type="dxa"/>
          </w:tcPr>
          <w:p w14:paraId="2292F328">
            <w:pPr>
              <w:keepNext w:val="0"/>
              <w:keepLines w:val="0"/>
              <w:pageBreakBefore w:val="0"/>
              <w:widowControl w:val="0"/>
              <w:kinsoku w:val="0"/>
              <w:wordWrap/>
              <w:overflowPunct/>
              <w:autoSpaceDE w:val="0"/>
              <w:autoSpaceDN w:val="0"/>
              <w:bidi w:val="0"/>
              <w:adjustRightInd w:val="0"/>
              <w:snapToGrid w:val="0"/>
              <w:spacing w:before="172" w:line="228"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7"/>
                <w:sz w:val="20"/>
                <w:szCs w:val="20"/>
              </w:rPr>
              <w:t>新建</w:t>
            </w:r>
          </w:p>
        </w:tc>
        <w:tc>
          <w:tcPr>
            <w:tcW w:w="1240" w:type="dxa"/>
          </w:tcPr>
          <w:p w14:paraId="43AD9579">
            <w:pPr>
              <w:keepNext w:val="0"/>
              <w:keepLines w:val="0"/>
              <w:pageBreakBefore w:val="0"/>
              <w:widowControl w:val="0"/>
              <w:kinsoku w:val="0"/>
              <w:wordWrap/>
              <w:overflowPunct/>
              <w:autoSpaceDE w:val="0"/>
              <w:autoSpaceDN w:val="0"/>
              <w:bidi w:val="0"/>
              <w:adjustRightInd w:val="0"/>
              <w:snapToGrid w:val="0"/>
              <w:spacing w:before="173" w:line="229" w:lineRule="auto"/>
              <w:ind w:left="0" w:leftChars="0" w:right="0" w:rightChars="0" w:firstLine="0" w:firstLineChars="0"/>
              <w:jc w:val="center"/>
              <w:textAlignment w:val="baseline"/>
              <w:rPr>
                <w:rFonts w:ascii="宋体" w:hAnsi="宋体" w:eastAsia="宋体" w:cs="宋体"/>
                <w:sz w:val="20"/>
                <w:szCs w:val="20"/>
              </w:rPr>
            </w:pPr>
            <w:r>
              <w:rPr>
                <w:rFonts w:hint="eastAsia" w:asciiTheme="minorAscii" w:hAnsiTheme="minorAscii" w:eastAsiaTheme="minorEastAsia"/>
                <w:spacing w:val="105"/>
                <w:kern w:val="0"/>
                <w:sz w:val="21"/>
                <w:fitText w:val="630" w:id="676873217"/>
                <w:vertAlign w:val="baseline"/>
                <w:lang w:val="en-US" w:eastAsia="zh-CN"/>
              </w:rPr>
              <w:t>任</w:t>
            </w:r>
            <w:r>
              <w:rPr>
                <w:rFonts w:hint="eastAsia" w:asciiTheme="minorAscii" w:hAnsiTheme="minorAscii" w:eastAsiaTheme="minorEastAsia"/>
                <w:spacing w:val="0"/>
                <w:kern w:val="0"/>
                <w:sz w:val="21"/>
                <w:fitText w:val="630" w:id="676873217"/>
                <w:vertAlign w:val="baseline"/>
                <w:lang w:val="en-US" w:eastAsia="zh-CN"/>
              </w:rPr>
              <w:t>鸿</w:t>
            </w:r>
          </w:p>
        </w:tc>
      </w:tr>
      <w:tr w14:paraId="6E20967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jc w:val="center"/>
        </w:trPr>
        <w:tc>
          <w:tcPr>
            <w:tcW w:w="2689" w:type="dxa"/>
          </w:tcPr>
          <w:p w14:paraId="05F4A443">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919" w:type="dxa"/>
          </w:tcPr>
          <w:p w14:paraId="2146625D">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2289" w:type="dxa"/>
          </w:tcPr>
          <w:p w14:paraId="2B88D568">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1240" w:type="dxa"/>
          </w:tcPr>
          <w:p w14:paraId="2F149229">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r>
      <w:tr w14:paraId="55B855D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jc w:val="center"/>
        </w:trPr>
        <w:tc>
          <w:tcPr>
            <w:tcW w:w="2689" w:type="dxa"/>
          </w:tcPr>
          <w:p w14:paraId="3A84474B">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919" w:type="dxa"/>
          </w:tcPr>
          <w:p w14:paraId="58C703F0">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2289" w:type="dxa"/>
          </w:tcPr>
          <w:p w14:paraId="4970AE54">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1240" w:type="dxa"/>
          </w:tcPr>
          <w:p w14:paraId="0C73CE09">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r>
      <w:tr w14:paraId="7F7C35E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7" w:hRule="atLeast"/>
          <w:jc w:val="center"/>
        </w:trPr>
        <w:tc>
          <w:tcPr>
            <w:tcW w:w="2689" w:type="dxa"/>
          </w:tcPr>
          <w:p w14:paraId="750A30CE">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919" w:type="dxa"/>
          </w:tcPr>
          <w:p w14:paraId="67969F46">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2289" w:type="dxa"/>
          </w:tcPr>
          <w:p w14:paraId="64D59CB2">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1240" w:type="dxa"/>
          </w:tcPr>
          <w:p w14:paraId="26776253">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r>
    </w:tbl>
    <w:p w14:paraId="38E27D40">
      <w:pPr>
        <w:keepNext w:val="0"/>
        <w:keepLines w:val="0"/>
        <w:pageBreakBefore w:val="0"/>
        <w:widowControl w:val="0"/>
        <w:kinsoku w:val="0"/>
        <w:wordWrap/>
        <w:overflowPunct/>
        <w:autoSpaceDE w:val="0"/>
        <w:autoSpaceDN w:val="0"/>
        <w:bidi w:val="0"/>
        <w:adjustRightInd w:val="0"/>
        <w:snapToGrid w:val="0"/>
        <w:textAlignment w:val="baseline"/>
      </w:pPr>
      <w:r>
        <w:br w:type="page"/>
      </w:r>
    </w:p>
    <w:sdt>
      <w:sdtPr>
        <w:rPr>
          <w:rFonts w:ascii="宋体" w:hAnsi="宋体" w:eastAsia="宋体" w:cs="Arial"/>
          <w:snapToGrid w:val="0"/>
          <w:color w:val="000000"/>
          <w:kern w:val="0"/>
          <w:sz w:val="21"/>
          <w:szCs w:val="21"/>
          <w:lang w:val="en-US" w:eastAsia="en-US" w:bidi="ar-SA"/>
        </w:rPr>
        <w:id w:val="147468666"/>
        <w:docPartObj>
          <w:docPartGallery w:val="Table of Contents"/>
          <w:docPartUnique/>
        </w:docPartObj>
      </w:sdtPr>
      <w:sdtEndPr>
        <w:rPr>
          <w:rFonts w:hint="eastAsia" w:ascii="宋体" w:hAnsi="宋体" w:eastAsia="宋体" w:cs="宋体"/>
          <w:snapToGrid w:val="0"/>
          <w:color w:val="000000"/>
          <w:kern w:val="0"/>
          <w:sz w:val="24"/>
          <w:szCs w:val="24"/>
          <w:lang w:val="en-US" w:eastAsia="en-US" w:bidi="ar-SA"/>
        </w:rPr>
      </w:sdtEndPr>
      <w:sdtContent>
        <w:p w14:paraId="36A6F98F">
          <w:pPr>
            <w:keepNext w:val="0"/>
            <w:keepLines w:val="0"/>
            <w:pageBreakBefore w:val="0"/>
            <w:widowControl w:val="0"/>
            <w:kinsoku w:val="0"/>
            <w:wordWrap/>
            <w:overflowPunct/>
            <w:autoSpaceDE w:val="0"/>
            <w:autoSpaceDN w:val="0"/>
            <w:bidi w:val="0"/>
            <w:adjustRightInd w:val="0"/>
            <w:snapToGrid w:val="0"/>
            <w:spacing w:before="0" w:beforeLines="0" w:after="0" w:afterLines="0" w:line="240" w:lineRule="auto"/>
            <w:ind w:left="0" w:leftChars="0" w:right="0" w:rightChars="0" w:firstLine="0" w:firstLineChars="0"/>
            <w:jc w:val="center"/>
            <w:textAlignment w:val="baseline"/>
            <w:rPr>
              <w:rFonts w:hint="eastAsia" w:ascii="宋体" w:hAnsi="宋体" w:eastAsia="宋体" w:cs="宋体"/>
              <w:sz w:val="24"/>
              <w:szCs w:val="24"/>
            </w:rPr>
          </w:pPr>
          <w:r>
            <w:rPr>
              <w:rFonts w:hint="eastAsia" w:ascii="宋体" w:hAnsi="宋体" w:eastAsia="宋体" w:cs="宋体"/>
              <w:sz w:val="24"/>
              <w:szCs w:val="24"/>
            </w:rPr>
            <w:t>目录</w:t>
          </w:r>
        </w:p>
        <w:p w14:paraId="4ABEBB57">
          <w:pPr>
            <w:pStyle w:val="16"/>
            <w:keepNext w:val="0"/>
            <w:keepLines w:val="0"/>
            <w:pageBreakBefore w:val="0"/>
            <w:widowControl w:val="0"/>
            <w:tabs>
              <w:tab w:val="right" w:leader="dot" w:pos="8306"/>
            </w:tabs>
            <w:kinsoku w:val="0"/>
            <w:wordWrap/>
            <w:overflowPunct/>
            <w:autoSpaceDE w:val="0"/>
            <w:autoSpaceDN w:val="0"/>
            <w:bidi w:val="0"/>
            <w:adjustRightInd w:val="0"/>
            <w:snapToGrid w:val="0"/>
            <w:textAlignment w:val="baseline"/>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TOC \o "1-3" \h \u </w:instrText>
          </w:r>
          <w:r>
            <w:rPr>
              <w:rFonts w:hint="eastAsia" w:ascii="宋体" w:hAnsi="宋体" w:eastAsia="宋体" w:cs="宋体"/>
              <w:sz w:val="24"/>
              <w:szCs w:val="24"/>
            </w:rPr>
            <w:fldChar w:fldCharType="separate"/>
          </w:r>
          <w:r>
            <w:rPr>
              <w:rFonts w:hint="eastAsia" w:ascii="宋体" w:hAnsi="宋体" w:eastAsia="宋体" w:cs="宋体"/>
              <w:szCs w:val="24"/>
            </w:rPr>
            <w:fldChar w:fldCharType="begin"/>
          </w:r>
          <w:r>
            <w:rPr>
              <w:rFonts w:hint="eastAsia" w:ascii="宋体" w:hAnsi="宋体" w:eastAsia="宋体" w:cs="宋体"/>
              <w:szCs w:val="24"/>
            </w:rPr>
            <w:instrText xml:space="preserve"> HYPERLINK \l _Toc260 </w:instrText>
          </w:r>
          <w:r>
            <w:rPr>
              <w:rFonts w:hint="eastAsia" w:ascii="宋体" w:hAnsi="宋体" w:eastAsia="宋体" w:cs="宋体"/>
              <w:szCs w:val="24"/>
            </w:rPr>
            <w:fldChar w:fldCharType="separate"/>
          </w:r>
          <w:r>
            <w:rPr>
              <w:rFonts w:hint="eastAsia"/>
              <w:lang w:val="en-US" w:eastAsia="zh-CN"/>
            </w:rPr>
            <w:t>阿克苏智汇人才服务有限</w:t>
          </w:r>
          <w:r>
            <w:t>公司</w:t>
          </w:r>
          <w:r>
            <w:tab/>
          </w:r>
          <w:r>
            <w:fldChar w:fldCharType="begin"/>
          </w:r>
          <w:r>
            <w:instrText xml:space="preserve"> PAGEREF _Toc260 \h </w:instrText>
          </w:r>
          <w:r>
            <w:fldChar w:fldCharType="separate"/>
          </w:r>
          <w:r>
            <w:t>1</w:t>
          </w:r>
          <w:r>
            <w:fldChar w:fldCharType="end"/>
          </w:r>
          <w:r>
            <w:rPr>
              <w:rFonts w:hint="eastAsia" w:ascii="宋体" w:hAnsi="宋体" w:eastAsia="宋体" w:cs="宋体"/>
              <w:szCs w:val="24"/>
            </w:rPr>
            <w:fldChar w:fldCharType="end"/>
          </w:r>
        </w:p>
        <w:p w14:paraId="4CE182B2">
          <w:pPr>
            <w:pStyle w:val="16"/>
            <w:keepNext w:val="0"/>
            <w:keepLines w:val="0"/>
            <w:pageBreakBefore w:val="0"/>
            <w:widowControl w:val="0"/>
            <w:tabs>
              <w:tab w:val="right" w:leader="dot" w:pos="8306"/>
            </w:tabs>
            <w:kinsoku w:val="0"/>
            <w:wordWrap/>
            <w:overflowPunct/>
            <w:autoSpaceDE w:val="0"/>
            <w:autoSpaceDN w:val="0"/>
            <w:bidi w:val="0"/>
            <w:adjustRightInd w:val="0"/>
            <w:snapToGrid w:val="0"/>
            <w:textAlignment w:val="baseline"/>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_Toc27520 </w:instrText>
          </w:r>
          <w:r>
            <w:rPr>
              <w:rFonts w:hint="eastAsia" w:ascii="宋体" w:hAnsi="宋体" w:eastAsia="宋体" w:cs="宋体"/>
              <w:szCs w:val="24"/>
            </w:rPr>
            <w:fldChar w:fldCharType="separate"/>
          </w:r>
          <w:r>
            <w:rPr>
              <w:rFonts w:hint="eastAsia"/>
              <w:lang w:val="en-US" w:eastAsia="zh-CN"/>
            </w:rPr>
            <w:t>人员工作交接管理制度</w:t>
          </w:r>
          <w:r>
            <w:tab/>
          </w:r>
          <w:r>
            <w:fldChar w:fldCharType="begin"/>
          </w:r>
          <w:r>
            <w:instrText xml:space="preserve"> PAGEREF _Toc27520 \h </w:instrText>
          </w:r>
          <w:r>
            <w:fldChar w:fldCharType="separate"/>
          </w:r>
          <w:r>
            <w:t>1</w:t>
          </w:r>
          <w:r>
            <w:fldChar w:fldCharType="end"/>
          </w:r>
          <w:r>
            <w:rPr>
              <w:rFonts w:hint="eastAsia" w:ascii="宋体" w:hAnsi="宋体" w:eastAsia="宋体" w:cs="宋体"/>
              <w:szCs w:val="24"/>
            </w:rPr>
            <w:fldChar w:fldCharType="end"/>
          </w:r>
        </w:p>
        <w:p w14:paraId="782C915D">
          <w:pPr>
            <w:pStyle w:val="16"/>
            <w:keepNext w:val="0"/>
            <w:keepLines w:val="0"/>
            <w:pageBreakBefore w:val="0"/>
            <w:widowControl w:val="0"/>
            <w:tabs>
              <w:tab w:val="right" w:leader="dot" w:pos="8306"/>
            </w:tabs>
            <w:kinsoku w:val="0"/>
            <w:wordWrap/>
            <w:overflowPunct/>
            <w:autoSpaceDE w:val="0"/>
            <w:autoSpaceDN w:val="0"/>
            <w:bidi w:val="0"/>
            <w:adjustRightInd w:val="0"/>
            <w:snapToGrid w:val="0"/>
            <w:textAlignment w:val="baseline"/>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_Toc1824 </w:instrText>
          </w:r>
          <w:r>
            <w:rPr>
              <w:rFonts w:hint="eastAsia" w:ascii="宋体" w:hAnsi="宋体" w:eastAsia="宋体" w:cs="宋体"/>
              <w:szCs w:val="24"/>
            </w:rPr>
            <w:fldChar w:fldCharType="separate"/>
          </w:r>
          <w:r>
            <w:rPr>
              <w:rFonts w:hint="default"/>
            </w:rPr>
            <w:t xml:space="preserve">1. </w:t>
          </w:r>
          <w:r>
            <w:rPr>
              <w:rFonts w:hint="eastAsia"/>
              <w:lang w:val="en-US" w:eastAsia="zh-CN"/>
            </w:rPr>
            <w:t>总则</w:t>
          </w:r>
          <w:r>
            <w:tab/>
          </w:r>
          <w:r>
            <w:fldChar w:fldCharType="begin"/>
          </w:r>
          <w:r>
            <w:instrText xml:space="preserve"> PAGEREF _Toc1824 \h </w:instrText>
          </w:r>
          <w:r>
            <w:fldChar w:fldCharType="separate"/>
          </w:r>
          <w:r>
            <w:t>4</w:t>
          </w:r>
          <w:r>
            <w:fldChar w:fldCharType="end"/>
          </w:r>
          <w:r>
            <w:rPr>
              <w:rFonts w:hint="eastAsia" w:ascii="宋体" w:hAnsi="宋体" w:eastAsia="宋体" w:cs="宋体"/>
              <w:szCs w:val="24"/>
            </w:rPr>
            <w:fldChar w:fldCharType="end"/>
          </w:r>
        </w:p>
        <w:p w14:paraId="379FBFB8">
          <w:pPr>
            <w:pStyle w:val="17"/>
            <w:keepNext w:val="0"/>
            <w:keepLines w:val="0"/>
            <w:pageBreakBefore w:val="0"/>
            <w:widowControl w:val="0"/>
            <w:tabs>
              <w:tab w:val="right" w:leader="dot" w:pos="8306"/>
            </w:tabs>
            <w:kinsoku w:val="0"/>
            <w:wordWrap/>
            <w:overflowPunct/>
            <w:autoSpaceDE w:val="0"/>
            <w:autoSpaceDN w:val="0"/>
            <w:bidi w:val="0"/>
            <w:adjustRightInd w:val="0"/>
            <w:snapToGrid w:val="0"/>
            <w:textAlignment w:val="baseline"/>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_Toc13369 </w:instrText>
          </w:r>
          <w:r>
            <w:rPr>
              <w:rFonts w:hint="eastAsia" w:ascii="宋体" w:hAnsi="宋体" w:eastAsia="宋体" w:cs="宋体"/>
              <w:szCs w:val="24"/>
            </w:rPr>
            <w:fldChar w:fldCharType="separate"/>
          </w:r>
          <w:r>
            <w:rPr>
              <w:rFonts w:hint="default"/>
              <w:lang w:val="en-US" w:eastAsia="zh-CN"/>
            </w:rPr>
            <w:t xml:space="preserve">1.1. </w:t>
          </w:r>
          <w:r>
            <w:rPr>
              <w:rFonts w:hint="eastAsia"/>
              <w:lang w:val="en-US" w:eastAsia="zh-CN"/>
            </w:rPr>
            <w:t>目的</w:t>
          </w:r>
          <w:r>
            <w:tab/>
          </w:r>
          <w:r>
            <w:fldChar w:fldCharType="begin"/>
          </w:r>
          <w:r>
            <w:instrText xml:space="preserve"> PAGEREF _Toc13369 \h </w:instrText>
          </w:r>
          <w:r>
            <w:fldChar w:fldCharType="separate"/>
          </w:r>
          <w:r>
            <w:t>4</w:t>
          </w:r>
          <w:r>
            <w:fldChar w:fldCharType="end"/>
          </w:r>
          <w:r>
            <w:rPr>
              <w:rFonts w:hint="eastAsia" w:ascii="宋体" w:hAnsi="宋体" w:eastAsia="宋体" w:cs="宋体"/>
              <w:szCs w:val="24"/>
            </w:rPr>
            <w:fldChar w:fldCharType="end"/>
          </w:r>
        </w:p>
        <w:p w14:paraId="03BA5005">
          <w:pPr>
            <w:pStyle w:val="17"/>
            <w:keepNext w:val="0"/>
            <w:keepLines w:val="0"/>
            <w:pageBreakBefore w:val="0"/>
            <w:widowControl w:val="0"/>
            <w:tabs>
              <w:tab w:val="right" w:leader="dot" w:pos="8306"/>
            </w:tabs>
            <w:kinsoku w:val="0"/>
            <w:wordWrap/>
            <w:overflowPunct/>
            <w:autoSpaceDE w:val="0"/>
            <w:autoSpaceDN w:val="0"/>
            <w:bidi w:val="0"/>
            <w:adjustRightInd w:val="0"/>
            <w:snapToGrid w:val="0"/>
            <w:textAlignment w:val="baseline"/>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_Toc14707 </w:instrText>
          </w:r>
          <w:r>
            <w:rPr>
              <w:rFonts w:hint="eastAsia" w:ascii="宋体" w:hAnsi="宋体" w:eastAsia="宋体" w:cs="宋体"/>
              <w:szCs w:val="24"/>
            </w:rPr>
            <w:fldChar w:fldCharType="separate"/>
          </w:r>
          <w:r>
            <w:rPr>
              <w:rFonts w:hint="default"/>
              <w:lang w:val="en-US" w:eastAsia="zh-CN"/>
            </w:rPr>
            <w:t xml:space="preserve">1.2. </w:t>
          </w:r>
          <w:r>
            <w:rPr>
              <w:rFonts w:hint="eastAsia"/>
              <w:lang w:val="en-US" w:eastAsia="zh-CN"/>
            </w:rPr>
            <w:t>适用范围</w:t>
          </w:r>
          <w:r>
            <w:tab/>
          </w:r>
          <w:r>
            <w:fldChar w:fldCharType="begin"/>
          </w:r>
          <w:r>
            <w:instrText xml:space="preserve"> PAGEREF _Toc14707 \h </w:instrText>
          </w:r>
          <w:r>
            <w:fldChar w:fldCharType="separate"/>
          </w:r>
          <w:r>
            <w:t>4</w:t>
          </w:r>
          <w:r>
            <w:fldChar w:fldCharType="end"/>
          </w:r>
          <w:r>
            <w:rPr>
              <w:rFonts w:hint="eastAsia" w:ascii="宋体" w:hAnsi="宋体" w:eastAsia="宋体" w:cs="宋体"/>
              <w:szCs w:val="24"/>
            </w:rPr>
            <w:fldChar w:fldCharType="end"/>
          </w:r>
        </w:p>
        <w:p w14:paraId="22E4BBA8">
          <w:pPr>
            <w:pStyle w:val="17"/>
            <w:keepNext w:val="0"/>
            <w:keepLines w:val="0"/>
            <w:pageBreakBefore w:val="0"/>
            <w:widowControl w:val="0"/>
            <w:tabs>
              <w:tab w:val="right" w:leader="dot" w:pos="8306"/>
            </w:tabs>
            <w:kinsoku w:val="0"/>
            <w:wordWrap/>
            <w:overflowPunct/>
            <w:autoSpaceDE w:val="0"/>
            <w:autoSpaceDN w:val="0"/>
            <w:bidi w:val="0"/>
            <w:adjustRightInd w:val="0"/>
            <w:snapToGrid w:val="0"/>
            <w:textAlignment w:val="baseline"/>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_Toc7905 </w:instrText>
          </w:r>
          <w:r>
            <w:rPr>
              <w:rFonts w:hint="eastAsia" w:ascii="宋体" w:hAnsi="宋体" w:eastAsia="宋体" w:cs="宋体"/>
              <w:szCs w:val="24"/>
            </w:rPr>
            <w:fldChar w:fldCharType="separate"/>
          </w:r>
          <w:r>
            <w:rPr>
              <w:rFonts w:hint="default"/>
              <w:lang w:val="en-US" w:eastAsia="zh-CN"/>
            </w:rPr>
            <w:t xml:space="preserve">1.3. </w:t>
          </w:r>
          <w:r>
            <w:rPr>
              <w:rFonts w:hint="eastAsia"/>
              <w:lang w:val="en-US" w:eastAsia="zh-CN"/>
            </w:rPr>
            <w:t>原则</w:t>
          </w:r>
          <w:r>
            <w:tab/>
          </w:r>
          <w:r>
            <w:fldChar w:fldCharType="begin"/>
          </w:r>
          <w:r>
            <w:instrText xml:space="preserve"> PAGEREF _Toc7905 \h </w:instrText>
          </w:r>
          <w:r>
            <w:fldChar w:fldCharType="separate"/>
          </w:r>
          <w:r>
            <w:t>4</w:t>
          </w:r>
          <w:r>
            <w:fldChar w:fldCharType="end"/>
          </w:r>
          <w:r>
            <w:rPr>
              <w:rFonts w:hint="eastAsia" w:ascii="宋体" w:hAnsi="宋体" w:eastAsia="宋体" w:cs="宋体"/>
              <w:szCs w:val="24"/>
            </w:rPr>
            <w:fldChar w:fldCharType="end"/>
          </w:r>
        </w:p>
        <w:p w14:paraId="262DE691">
          <w:pPr>
            <w:pStyle w:val="17"/>
            <w:keepNext w:val="0"/>
            <w:keepLines w:val="0"/>
            <w:pageBreakBefore w:val="0"/>
            <w:widowControl w:val="0"/>
            <w:tabs>
              <w:tab w:val="right" w:leader="dot" w:pos="8306"/>
            </w:tabs>
            <w:kinsoku w:val="0"/>
            <w:wordWrap/>
            <w:overflowPunct/>
            <w:autoSpaceDE w:val="0"/>
            <w:autoSpaceDN w:val="0"/>
            <w:bidi w:val="0"/>
            <w:adjustRightInd w:val="0"/>
            <w:snapToGrid w:val="0"/>
            <w:textAlignment w:val="baseline"/>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_Toc32565 </w:instrText>
          </w:r>
          <w:r>
            <w:rPr>
              <w:rFonts w:hint="eastAsia" w:ascii="宋体" w:hAnsi="宋体" w:eastAsia="宋体" w:cs="宋体"/>
              <w:szCs w:val="24"/>
            </w:rPr>
            <w:fldChar w:fldCharType="separate"/>
          </w:r>
          <w:r>
            <w:rPr>
              <w:rFonts w:hint="default"/>
              <w:lang w:val="en-US" w:eastAsia="zh-CN"/>
            </w:rPr>
            <w:t xml:space="preserve">1.4. </w:t>
          </w:r>
          <w:r>
            <w:rPr>
              <w:rFonts w:hint="eastAsia"/>
              <w:lang w:val="en-US" w:eastAsia="zh-CN"/>
            </w:rPr>
            <w:t>岗位职责</w:t>
          </w:r>
          <w:r>
            <w:tab/>
          </w:r>
          <w:r>
            <w:fldChar w:fldCharType="begin"/>
          </w:r>
          <w:r>
            <w:instrText xml:space="preserve"> PAGEREF _Toc32565 \h </w:instrText>
          </w:r>
          <w:r>
            <w:fldChar w:fldCharType="separate"/>
          </w:r>
          <w:r>
            <w:t>4</w:t>
          </w:r>
          <w:r>
            <w:fldChar w:fldCharType="end"/>
          </w:r>
          <w:r>
            <w:rPr>
              <w:rFonts w:hint="eastAsia" w:ascii="宋体" w:hAnsi="宋体" w:eastAsia="宋体" w:cs="宋体"/>
              <w:szCs w:val="24"/>
            </w:rPr>
            <w:fldChar w:fldCharType="end"/>
          </w:r>
        </w:p>
        <w:p w14:paraId="587E0AE4">
          <w:pPr>
            <w:pStyle w:val="16"/>
            <w:keepNext w:val="0"/>
            <w:keepLines w:val="0"/>
            <w:pageBreakBefore w:val="0"/>
            <w:widowControl w:val="0"/>
            <w:tabs>
              <w:tab w:val="right" w:leader="dot" w:pos="8306"/>
            </w:tabs>
            <w:kinsoku w:val="0"/>
            <w:wordWrap/>
            <w:overflowPunct/>
            <w:autoSpaceDE w:val="0"/>
            <w:autoSpaceDN w:val="0"/>
            <w:bidi w:val="0"/>
            <w:adjustRightInd w:val="0"/>
            <w:snapToGrid w:val="0"/>
            <w:textAlignment w:val="baseline"/>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_Toc7310 </w:instrText>
          </w:r>
          <w:r>
            <w:rPr>
              <w:rFonts w:hint="eastAsia" w:ascii="宋体" w:hAnsi="宋体" w:eastAsia="宋体" w:cs="宋体"/>
              <w:szCs w:val="24"/>
            </w:rPr>
            <w:fldChar w:fldCharType="separate"/>
          </w:r>
          <w:r>
            <w:rPr>
              <w:rFonts w:hint="default"/>
              <w:lang w:val="en-US" w:eastAsia="zh-CN"/>
            </w:rPr>
            <w:t xml:space="preserve">2. </w:t>
          </w:r>
          <w:r>
            <w:rPr>
              <w:rFonts w:hint="eastAsia"/>
              <w:lang w:val="en-US" w:eastAsia="zh-CN"/>
            </w:rPr>
            <w:t>引用依据</w:t>
          </w:r>
          <w:r>
            <w:tab/>
          </w:r>
          <w:r>
            <w:fldChar w:fldCharType="begin"/>
          </w:r>
          <w:r>
            <w:instrText xml:space="preserve"> PAGEREF _Toc7310 \h </w:instrText>
          </w:r>
          <w:r>
            <w:fldChar w:fldCharType="separate"/>
          </w:r>
          <w:r>
            <w:t>4</w:t>
          </w:r>
          <w:r>
            <w:fldChar w:fldCharType="end"/>
          </w:r>
          <w:r>
            <w:rPr>
              <w:rFonts w:hint="eastAsia" w:ascii="宋体" w:hAnsi="宋体" w:eastAsia="宋体" w:cs="宋体"/>
              <w:szCs w:val="24"/>
            </w:rPr>
            <w:fldChar w:fldCharType="end"/>
          </w:r>
        </w:p>
        <w:p w14:paraId="4ADE403E">
          <w:pPr>
            <w:pStyle w:val="16"/>
            <w:keepNext w:val="0"/>
            <w:keepLines w:val="0"/>
            <w:pageBreakBefore w:val="0"/>
            <w:widowControl w:val="0"/>
            <w:tabs>
              <w:tab w:val="right" w:leader="dot" w:pos="8306"/>
            </w:tabs>
            <w:kinsoku w:val="0"/>
            <w:wordWrap/>
            <w:overflowPunct/>
            <w:autoSpaceDE w:val="0"/>
            <w:autoSpaceDN w:val="0"/>
            <w:bidi w:val="0"/>
            <w:adjustRightInd w:val="0"/>
            <w:snapToGrid w:val="0"/>
            <w:textAlignment w:val="baseline"/>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_Toc30963 </w:instrText>
          </w:r>
          <w:r>
            <w:rPr>
              <w:rFonts w:hint="eastAsia" w:ascii="宋体" w:hAnsi="宋体" w:eastAsia="宋体" w:cs="宋体"/>
              <w:szCs w:val="24"/>
            </w:rPr>
            <w:fldChar w:fldCharType="separate"/>
          </w:r>
          <w:r>
            <w:rPr>
              <w:rFonts w:hint="default"/>
            </w:rPr>
            <w:t xml:space="preserve">3. </w:t>
          </w:r>
          <w:r>
            <w:rPr>
              <w:rFonts w:hint="eastAsia"/>
              <w:lang w:val="en-US" w:eastAsia="zh-CN"/>
            </w:rPr>
            <w:t>定义与术语</w:t>
          </w:r>
          <w:r>
            <w:tab/>
          </w:r>
          <w:r>
            <w:fldChar w:fldCharType="begin"/>
          </w:r>
          <w:r>
            <w:instrText xml:space="preserve"> PAGEREF _Toc30963 \h </w:instrText>
          </w:r>
          <w:r>
            <w:fldChar w:fldCharType="separate"/>
          </w:r>
          <w:r>
            <w:t>4</w:t>
          </w:r>
          <w:r>
            <w:fldChar w:fldCharType="end"/>
          </w:r>
          <w:r>
            <w:rPr>
              <w:rFonts w:hint="eastAsia" w:ascii="宋体" w:hAnsi="宋体" w:eastAsia="宋体" w:cs="宋体"/>
              <w:szCs w:val="24"/>
            </w:rPr>
            <w:fldChar w:fldCharType="end"/>
          </w:r>
        </w:p>
        <w:p w14:paraId="406B10D3">
          <w:pPr>
            <w:pStyle w:val="16"/>
            <w:keepNext w:val="0"/>
            <w:keepLines w:val="0"/>
            <w:pageBreakBefore w:val="0"/>
            <w:widowControl w:val="0"/>
            <w:tabs>
              <w:tab w:val="right" w:leader="dot" w:pos="8306"/>
            </w:tabs>
            <w:kinsoku w:val="0"/>
            <w:wordWrap/>
            <w:overflowPunct/>
            <w:autoSpaceDE w:val="0"/>
            <w:autoSpaceDN w:val="0"/>
            <w:bidi w:val="0"/>
            <w:adjustRightInd w:val="0"/>
            <w:snapToGrid w:val="0"/>
            <w:textAlignment w:val="baseline"/>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_Toc14370 </w:instrText>
          </w:r>
          <w:r>
            <w:rPr>
              <w:rFonts w:hint="eastAsia" w:ascii="宋体" w:hAnsi="宋体" w:eastAsia="宋体" w:cs="宋体"/>
              <w:szCs w:val="24"/>
            </w:rPr>
            <w:fldChar w:fldCharType="separate"/>
          </w:r>
          <w:r>
            <w:rPr>
              <w:rFonts w:hint="default"/>
              <w:lang w:val="en-US" w:eastAsia="zh-CN"/>
            </w:rPr>
            <w:t xml:space="preserve">4. </w:t>
          </w:r>
          <w:r>
            <w:rPr>
              <w:rFonts w:hint="eastAsia"/>
              <w:lang w:val="en-US" w:eastAsia="zh-CN"/>
            </w:rPr>
            <w:t>管理内容与要求</w:t>
          </w:r>
          <w:r>
            <w:tab/>
          </w:r>
          <w:r>
            <w:fldChar w:fldCharType="begin"/>
          </w:r>
          <w:r>
            <w:instrText xml:space="preserve"> PAGEREF _Toc14370 \h </w:instrText>
          </w:r>
          <w:r>
            <w:fldChar w:fldCharType="separate"/>
          </w:r>
          <w:r>
            <w:t>4</w:t>
          </w:r>
          <w:r>
            <w:fldChar w:fldCharType="end"/>
          </w:r>
          <w:r>
            <w:rPr>
              <w:rFonts w:hint="eastAsia" w:ascii="宋体" w:hAnsi="宋体" w:eastAsia="宋体" w:cs="宋体"/>
              <w:szCs w:val="24"/>
            </w:rPr>
            <w:fldChar w:fldCharType="end"/>
          </w:r>
        </w:p>
        <w:p w14:paraId="6559700C">
          <w:pPr>
            <w:pStyle w:val="16"/>
            <w:keepNext w:val="0"/>
            <w:keepLines w:val="0"/>
            <w:pageBreakBefore w:val="0"/>
            <w:widowControl w:val="0"/>
            <w:tabs>
              <w:tab w:val="right" w:leader="dot" w:pos="8306"/>
            </w:tabs>
            <w:kinsoku w:val="0"/>
            <w:wordWrap/>
            <w:overflowPunct/>
            <w:autoSpaceDE w:val="0"/>
            <w:autoSpaceDN w:val="0"/>
            <w:bidi w:val="0"/>
            <w:adjustRightInd w:val="0"/>
            <w:snapToGrid w:val="0"/>
            <w:textAlignment w:val="baseline"/>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_Toc26732 </w:instrText>
          </w:r>
          <w:r>
            <w:rPr>
              <w:rFonts w:hint="eastAsia" w:ascii="宋体" w:hAnsi="宋体" w:eastAsia="宋体" w:cs="宋体"/>
              <w:szCs w:val="24"/>
            </w:rPr>
            <w:fldChar w:fldCharType="separate"/>
          </w:r>
          <w:r>
            <w:rPr>
              <w:rFonts w:hint="default" w:eastAsia="宋体"/>
              <w:lang w:val="en-US" w:eastAsia="zh-CN"/>
            </w:rPr>
            <w:t xml:space="preserve">5. </w:t>
          </w:r>
          <w:r>
            <w:rPr>
              <w:rFonts w:hint="eastAsia" w:eastAsia="宋体"/>
              <w:lang w:val="en-US" w:eastAsia="zh-CN"/>
            </w:rPr>
            <w:t>附则</w:t>
          </w:r>
          <w:r>
            <w:tab/>
          </w:r>
          <w:r>
            <w:fldChar w:fldCharType="begin"/>
          </w:r>
          <w:r>
            <w:instrText xml:space="preserve"> PAGEREF _Toc26732 \h </w:instrText>
          </w:r>
          <w:r>
            <w:fldChar w:fldCharType="separate"/>
          </w:r>
          <w:r>
            <w:t>4</w:t>
          </w:r>
          <w:r>
            <w:fldChar w:fldCharType="end"/>
          </w:r>
          <w:r>
            <w:rPr>
              <w:rFonts w:hint="eastAsia" w:ascii="宋体" w:hAnsi="宋体" w:eastAsia="宋体" w:cs="宋体"/>
              <w:szCs w:val="24"/>
            </w:rPr>
            <w:fldChar w:fldCharType="end"/>
          </w:r>
        </w:p>
        <w:p w14:paraId="78EBAF05">
          <w:pPr>
            <w:pStyle w:val="16"/>
            <w:keepNext w:val="0"/>
            <w:keepLines w:val="0"/>
            <w:pageBreakBefore w:val="0"/>
            <w:widowControl w:val="0"/>
            <w:tabs>
              <w:tab w:val="right" w:leader="dot" w:pos="8306"/>
            </w:tabs>
            <w:kinsoku w:val="0"/>
            <w:wordWrap/>
            <w:overflowPunct/>
            <w:autoSpaceDE w:val="0"/>
            <w:autoSpaceDN w:val="0"/>
            <w:bidi w:val="0"/>
            <w:adjustRightInd w:val="0"/>
            <w:snapToGrid w:val="0"/>
            <w:textAlignment w:val="baseline"/>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_Toc3387 </w:instrText>
          </w:r>
          <w:r>
            <w:rPr>
              <w:rFonts w:hint="eastAsia" w:ascii="宋体" w:hAnsi="宋体" w:eastAsia="宋体" w:cs="宋体"/>
              <w:szCs w:val="24"/>
            </w:rPr>
            <w:fldChar w:fldCharType="separate"/>
          </w:r>
          <w:r>
            <w:rPr>
              <w:rFonts w:hint="default"/>
              <w:lang w:val="en-US" w:eastAsia="zh-CN"/>
            </w:rPr>
            <w:t xml:space="preserve">6. </w:t>
          </w:r>
          <w:r>
            <w:rPr>
              <w:rFonts w:hint="eastAsia"/>
              <w:lang w:val="en-US" w:eastAsia="zh-CN"/>
            </w:rPr>
            <w:t>附件</w:t>
          </w:r>
          <w:r>
            <w:tab/>
          </w:r>
          <w:r>
            <w:fldChar w:fldCharType="begin"/>
          </w:r>
          <w:r>
            <w:instrText xml:space="preserve"> PAGEREF _Toc3387 \h </w:instrText>
          </w:r>
          <w:r>
            <w:fldChar w:fldCharType="separate"/>
          </w:r>
          <w:r>
            <w:t>4</w:t>
          </w:r>
          <w:r>
            <w:fldChar w:fldCharType="end"/>
          </w:r>
          <w:r>
            <w:rPr>
              <w:rFonts w:hint="eastAsia" w:ascii="宋体" w:hAnsi="宋体" w:eastAsia="宋体" w:cs="宋体"/>
              <w:szCs w:val="24"/>
            </w:rPr>
            <w:fldChar w:fldCharType="end"/>
          </w:r>
        </w:p>
        <w:p w14:paraId="6AD5517B">
          <w:pPr>
            <w:pStyle w:val="16"/>
            <w:keepNext w:val="0"/>
            <w:keepLines w:val="0"/>
            <w:pageBreakBefore w:val="0"/>
            <w:widowControl w:val="0"/>
            <w:tabs>
              <w:tab w:val="right" w:leader="dot" w:pos="8306"/>
            </w:tabs>
            <w:kinsoku w:val="0"/>
            <w:wordWrap/>
            <w:overflowPunct/>
            <w:autoSpaceDE w:val="0"/>
            <w:autoSpaceDN w:val="0"/>
            <w:bidi w:val="0"/>
            <w:adjustRightInd w:val="0"/>
            <w:snapToGrid w:val="0"/>
            <w:textAlignment w:val="baseline"/>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_Toc16438 </w:instrText>
          </w:r>
          <w:r>
            <w:rPr>
              <w:rFonts w:hint="eastAsia" w:ascii="宋体" w:hAnsi="宋体" w:eastAsia="宋体" w:cs="宋体"/>
              <w:szCs w:val="24"/>
            </w:rPr>
            <w:fldChar w:fldCharType="separate"/>
          </w:r>
          <w:r>
            <w:rPr>
              <w:rFonts w:hint="default"/>
              <w:lang w:val="en-US" w:eastAsia="zh-CN"/>
            </w:rPr>
            <w:t xml:space="preserve">7. </w:t>
          </w:r>
          <w:r>
            <w:rPr>
              <w:rFonts w:hint="eastAsia"/>
              <w:lang w:val="en-US" w:eastAsia="zh-CN"/>
            </w:rPr>
            <w:t>记录</w:t>
          </w:r>
          <w:r>
            <w:tab/>
          </w:r>
          <w:r>
            <w:fldChar w:fldCharType="begin"/>
          </w:r>
          <w:r>
            <w:instrText xml:space="preserve"> PAGEREF _Toc16438 \h </w:instrText>
          </w:r>
          <w:r>
            <w:fldChar w:fldCharType="separate"/>
          </w:r>
          <w:r>
            <w:t>4</w:t>
          </w:r>
          <w:r>
            <w:fldChar w:fldCharType="end"/>
          </w:r>
          <w:r>
            <w:rPr>
              <w:rFonts w:hint="eastAsia" w:ascii="宋体" w:hAnsi="宋体" w:eastAsia="宋体" w:cs="宋体"/>
              <w:szCs w:val="24"/>
            </w:rPr>
            <w:fldChar w:fldCharType="end"/>
          </w:r>
        </w:p>
        <w:p w14:paraId="05460C6F">
          <w:pPr>
            <w:keepNext w:val="0"/>
            <w:keepLines w:val="0"/>
            <w:pageBreakBefore w:val="0"/>
            <w:widowControl w:val="0"/>
            <w:kinsoku w:val="0"/>
            <w:wordWrap/>
            <w:overflowPunct/>
            <w:autoSpaceDE w:val="0"/>
            <w:autoSpaceDN w:val="0"/>
            <w:bidi w:val="0"/>
            <w:adjustRightInd w:val="0"/>
            <w:snapToGrid w:val="0"/>
            <w:textAlignment w:val="baseline"/>
            <w:rPr>
              <w:rFonts w:hint="eastAsia" w:ascii="宋体" w:hAnsi="宋体" w:eastAsia="宋体" w:cs="宋体"/>
              <w:snapToGrid w:val="0"/>
              <w:color w:val="000000"/>
              <w:kern w:val="0"/>
              <w:sz w:val="24"/>
              <w:szCs w:val="24"/>
              <w:lang w:val="en-US" w:eastAsia="en-US" w:bidi="ar-SA"/>
            </w:rPr>
          </w:pPr>
          <w:r>
            <w:rPr>
              <w:rFonts w:hint="eastAsia" w:ascii="宋体" w:hAnsi="宋体" w:eastAsia="宋体" w:cs="宋体"/>
              <w:szCs w:val="24"/>
            </w:rPr>
            <w:fldChar w:fldCharType="end"/>
          </w:r>
        </w:p>
      </w:sdtContent>
    </w:sdt>
    <w:p w14:paraId="272DD7F8">
      <w:pPr>
        <w:keepNext w:val="0"/>
        <w:keepLines w:val="0"/>
        <w:pageBreakBefore w:val="0"/>
        <w:widowControl w:val="0"/>
        <w:kinsoku w:val="0"/>
        <w:wordWrap/>
        <w:overflowPunct/>
        <w:autoSpaceDE w:val="0"/>
        <w:autoSpaceDN w:val="0"/>
        <w:bidi w:val="0"/>
        <w:adjustRightInd w:val="0"/>
        <w:snapToGrid w:val="0"/>
        <w:textAlignment w:val="baseline"/>
        <w:rPr>
          <w:rFonts w:ascii="Arial" w:hAnsi="Arial" w:eastAsia="Arial" w:cs="Arial"/>
          <w:snapToGrid w:val="0"/>
          <w:color w:val="000000"/>
          <w:kern w:val="0"/>
          <w:sz w:val="21"/>
          <w:szCs w:val="21"/>
          <w:lang w:val="en-US" w:eastAsia="en-US" w:bidi="ar-SA"/>
        </w:rPr>
      </w:pPr>
      <w:r>
        <w:rPr>
          <w:rFonts w:ascii="Arial" w:hAnsi="Arial" w:eastAsia="Arial" w:cs="Arial"/>
          <w:snapToGrid w:val="0"/>
          <w:color w:val="000000"/>
          <w:kern w:val="0"/>
          <w:sz w:val="21"/>
          <w:szCs w:val="21"/>
          <w:lang w:val="en-US" w:eastAsia="en-US" w:bidi="ar-SA"/>
        </w:rPr>
        <w:br w:type="page"/>
      </w:r>
    </w:p>
    <w:p w14:paraId="36869B1E">
      <w:pPr>
        <w:pStyle w:val="28"/>
        <w:keepNext w:val="0"/>
        <w:keepLines w:val="0"/>
        <w:pageBreakBefore w:val="0"/>
        <w:widowControl w:val="0"/>
        <w:kinsoku w:val="0"/>
        <w:wordWrap/>
        <w:overflowPunct/>
        <w:autoSpaceDE w:val="0"/>
        <w:autoSpaceDN w:val="0"/>
        <w:bidi w:val="0"/>
        <w:adjustRightInd w:val="0"/>
        <w:snapToGrid w:val="0"/>
        <w:textAlignment w:val="baseline"/>
      </w:pPr>
      <w:bookmarkStart w:id="2" w:name="_Toc1824"/>
      <w:r>
        <w:rPr>
          <w:rFonts w:hint="eastAsia"/>
          <w:lang w:val="en-US" w:eastAsia="zh-CN"/>
        </w:rPr>
        <w:t>总则</w:t>
      </w:r>
      <w:bookmarkEnd w:id="2"/>
    </w:p>
    <w:p w14:paraId="151B219A">
      <w:pPr>
        <w:pStyle w:val="30"/>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bookmarkStart w:id="3" w:name="_Toc13369"/>
      <w:r>
        <w:rPr>
          <w:rFonts w:hint="eastAsia"/>
          <w:lang w:val="en-US" w:eastAsia="zh-CN"/>
        </w:rPr>
        <w:t>目的</w:t>
      </w:r>
      <w:bookmarkEnd w:id="3"/>
    </w:p>
    <w:p w14:paraId="5BCD67CD">
      <w:pPr>
        <w:pStyle w:val="29"/>
        <w:rPr>
          <w:rFonts w:hint="eastAsia"/>
          <w:lang w:val="en-US" w:eastAsia="zh-CN"/>
        </w:rPr>
      </w:pPr>
      <w:r>
        <w:rPr>
          <w:rFonts w:hint="eastAsia"/>
          <w:lang w:val="en-US" w:eastAsia="zh-CN"/>
        </w:rPr>
        <w:t>为规范公司运维服务知识（以下简称“知识”）的获取、审核、共享、使用及维护过程，构建并持续完善组织过程资产，实现知识的有效积累、共享与复用，提升运维服务效率、质量及人员能力，支持主动预防性运维，保障运维服务体系的持续改进与稳定运行，特制定本制度。</w:t>
      </w:r>
    </w:p>
    <w:p w14:paraId="74FEE6B8">
      <w:pPr>
        <w:pStyle w:val="30"/>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bookmarkStart w:id="4" w:name="_Toc14707"/>
      <w:r>
        <w:rPr>
          <w:rFonts w:hint="eastAsia"/>
          <w:lang w:val="en-US" w:eastAsia="zh-CN"/>
        </w:rPr>
        <w:t>适用范围</w:t>
      </w:r>
      <w:bookmarkEnd w:id="4"/>
    </w:p>
    <w:p w14:paraId="461C148E">
      <w:pPr>
        <w:pStyle w:val="29"/>
        <w:rPr>
          <w:rFonts w:hint="eastAsia"/>
          <w:lang w:val="en-US" w:eastAsia="zh-CN"/>
        </w:rPr>
      </w:pPr>
      <w:r>
        <w:rPr>
          <w:rFonts w:hint="eastAsia"/>
          <w:lang w:val="en-US" w:eastAsia="zh-CN"/>
        </w:rPr>
        <w:t>本制度适用于公司内所有参与运维服务活动及接触运维服务知识的部门与人员，包括但不限于运维部、研发部、质量部、人力部及采购部。</w:t>
      </w:r>
    </w:p>
    <w:p w14:paraId="1D3A738A">
      <w:pPr>
        <w:pStyle w:val="30"/>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bookmarkStart w:id="5" w:name="_Toc7905"/>
      <w:r>
        <w:rPr>
          <w:rFonts w:hint="eastAsia"/>
          <w:lang w:val="en-US" w:eastAsia="zh-CN"/>
        </w:rPr>
        <w:t>原则</w:t>
      </w:r>
      <w:bookmarkEnd w:id="5"/>
    </w:p>
    <w:p w14:paraId="1B62E69C">
      <w:pPr>
        <w:pStyle w:val="29"/>
        <w:rPr>
          <w:rFonts w:hint="eastAsia"/>
          <w:lang w:val="en-US" w:eastAsia="zh-CN"/>
        </w:rPr>
      </w:pPr>
      <w:r>
        <w:rPr>
          <w:rFonts w:hint="eastAsia"/>
          <w:lang w:val="en-US" w:eastAsia="zh-CN"/>
        </w:rPr>
        <w:t>准确性原则： 所有入库知识必须经过严格审核，确保内容准确、有效。</w:t>
      </w:r>
    </w:p>
    <w:p w14:paraId="48075595">
      <w:pPr>
        <w:pStyle w:val="29"/>
        <w:rPr>
          <w:rFonts w:hint="eastAsia"/>
          <w:lang w:val="en-US" w:eastAsia="zh-CN"/>
        </w:rPr>
      </w:pPr>
      <w:r>
        <w:rPr>
          <w:rFonts w:hint="eastAsia"/>
          <w:lang w:val="en-US" w:eastAsia="zh-CN"/>
        </w:rPr>
        <w:t>共享性原则： 知识应在授权范围内充分共享，促进经验传承与能力提升。</w:t>
      </w:r>
    </w:p>
    <w:p w14:paraId="3E4F7A48">
      <w:pPr>
        <w:pStyle w:val="29"/>
        <w:rPr>
          <w:rFonts w:hint="eastAsia"/>
          <w:lang w:val="en-US" w:eastAsia="zh-CN"/>
        </w:rPr>
      </w:pPr>
      <w:r>
        <w:rPr>
          <w:rFonts w:hint="eastAsia"/>
          <w:lang w:val="en-US" w:eastAsia="zh-CN"/>
        </w:rPr>
        <w:t>持续性原则： 知识库需进行持续更新与定期复审，以保持其时效性和适用性。</w:t>
      </w:r>
    </w:p>
    <w:p w14:paraId="16C50EDC">
      <w:pPr>
        <w:pStyle w:val="29"/>
        <w:rPr>
          <w:rFonts w:hint="eastAsia"/>
          <w:lang w:val="en-US" w:eastAsia="zh-CN"/>
        </w:rPr>
      </w:pPr>
      <w:r>
        <w:rPr>
          <w:rFonts w:hint="eastAsia"/>
          <w:lang w:val="en-US" w:eastAsia="zh-CN"/>
        </w:rPr>
        <w:t>价值导向原则： 知识的采集与提炼应聚焦于对解决实际问题、提升服务效能具有指导价值的经验与方案。</w:t>
      </w:r>
    </w:p>
    <w:p w14:paraId="6FCDC5E8">
      <w:pPr>
        <w:pStyle w:val="30"/>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bookmarkStart w:id="6" w:name="_Toc32565"/>
      <w:r>
        <w:rPr>
          <w:rFonts w:hint="eastAsia"/>
          <w:lang w:val="en-US" w:eastAsia="zh-CN"/>
        </w:rPr>
        <w:t>岗位职责</w:t>
      </w:r>
      <w:bookmarkEnd w:id="6"/>
    </w:p>
    <w:p w14:paraId="172950F9">
      <w:pPr>
        <w:pStyle w:val="31"/>
        <w:bidi w:val="0"/>
        <w:rPr>
          <w:rFonts w:hint="default"/>
          <w:lang w:val="en-US" w:eastAsia="zh-CN"/>
        </w:rPr>
      </w:pPr>
      <w:r>
        <w:rPr>
          <w:rFonts w:hint="default"/>
          <w:lang w:val="en-US" w:eastAsia="zh-CN"/>
        </w:rPr>
        <w:t>运维部</w:t>
      </w:r>
    </w:p>
    <w:p w14:paraId="47AB99F6">
      <w:pPr>
        <w:pStyle w:val="29"/>
        <w:rPr>
          <w:rFonts w:hint="default"/>
          <w:lang w:val="en-US" w:eastAsia="zh-CN"/>
        </w:rPr>
      </w:pPr>
      <w:r>
        <w:rPr>
          <w:rFonts w:hint="default"/>
          <w:lang w:val="en-US" w:eastAsia="zh-CN"/>
        </w:rPr>
        <w:t>作为知识的主要产生和使用部门，负责组织运维工程师提交知识、提名部门内知识审核人，并推动知识的日常应用与反馈。</w:t>
      </w:r>
    </w:p>
    <w:p w14:paraId="1238E733">
      <w:pPr>
        <w:pStyle w:val="31"/>
        <w:bidi w:val="0"/>
        <w:rPr>
          <w:rFonts w:hint="default"/>
          <w:lang w:val="en-US" w:eastAsia="zh-CN"/>
        </w:rPr>
      </w:pPr>
      <w:r>
        <w:rPr>
          <w:rFonts w:hint="default"/>
          <w:lang w:val="en-US" w:eastAsia="zh-CN"/>
        </w:rPr>
        <w:t>质量部</w:t>
      </w:r>
    </w:p>
    <w:p w14:paraId="28BBC8D7">
      <w:pPr>
        <w:pStyle w:val="29"/>
        <w:rPr>
          <w:rFonts w:hint="default"/>
          <w:lang w:val="en-US" w:eastAsia="zh-CN"/>
        </w:rPr>
      </w:pPr>
      <w:r>
        <w:rPr>
          <w:rFonts w:hint="default"/>
          <w:lang w:val="en-US" w:eastAsia="zh-CN"/>
        </w:rPr>
        <w:t>负责监督知识管理全过程的质量，确保流程符合ITSS标准及公司质量管理体系要求，并可提名跨部门知识审核人。</w:t>
      </w:r>
    </w:p>
    <w:p w14:paraId="233DCAE7">
      <w:pPr>
        <w:pStyle w:val="29"/>
        <w:rPr>
          <w:rFonts w:hint="default"/>
          <w:lang w:val="en-US" w:eastAsia="zh-CN"/>
        </w:rPr>
      </w:pPr>
    </w:p>
    <w:p w14:paraId="7667303E">
      <w:pPr>
        <w:pStyle w:val="31"/>
        <w:bidi w:val="0"/>
        <w:rPr>
          <w:rFonts w:hint="eastAsia"/>
          <w:lang w:val="en-US" w:eastAsia="zh-CN"/>
        </w:rPr>
      </w:pPr>
      <w:r>
        <w:rPr>
          <w:rFonts w:hint="eastAsia"/>
          <w:lang w:val="en-US" w:eastAsia="zh-CN"/>
        </w:rPr>
        <w:t>服务知识专员</w:t>
      </w:r>
    </w:p>
    <w:p w14:paraId="5859DFBB">
      <w:pPr>
        <w:pStyle w:val="29"/>
        <w:rPr>
          <w:rFonts w:hint="default"/>
          <w:lang w:val="en-US" w:eastAsia="zh-CN"/>
        </w:rPr>
      </w:pPr>
      <w:r>
        <w:rPr>
          <w:rFonts w:hint="default"/>
          <w:lang w:val="en-US" w:eastAsia="zh-CN"/>
        </w:rPr>
        <w:t>通常由运维部指定专人担任，负责知识的最终发布、分类、存储、归档、共享推广及组织定期复审。</w:t>
      </w:r>
    </w:p>
    <w:p w14:paraId="5FD9EC0C">
      <w:pPr>
        <w:pStyle w:val="31"/>
        <w:bidi w:val="0"/>
        <w:rPr>
          <w:rFonts w:hint="default"/>
          <w:lang w:val="en-US" w:eastAsia="zh-CN"/>
        </w:rPr>
      </w:pPr>
      <w:r>
        <w:rPr>
          <w:rFonts w:hint="default"/>
          <w:lang w:val="en-US" w:eastAsia="zh-CN"/>
        </w:rPr>
        <w:t>全体运维人员（知识提交人）</w:t>
      </w:r>
    </w:p>
    <w:p w14:paraId="3FE7E517">
      <w:pPr>
        <w:pStyle w:val="29"/>
        <w:rPr>
          <w:rFonts w:hint="default"/>
          <w:lang w:val="en-US" w:eastAsia="zh-CN"/>
        </w:rPr>
      </w:pPr>
      <w:r>
        <w:rPr>
          <w:rFonts w:hint="default"/>
          <w:lang w:val="en-US" w:eastAsia="zh-CN"/>
        </w:rPr>
        <w:t>负责在日常工作中识别、提炼并提交知识，对知识库中过时或错误的内容及时反馈。</w:t>
      </w:r>
    </w:p>
    <w:p w14:paraId="7B2D0C04">
      <w:pPr>
        <w:pStyle w:val="28"/>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bookmarkStart w:id="7" w:name="_Toc7310"/>
      <w:r>
        <w:rPr>
          <w:rFonts w:hint="eastAsia"/>
          <w:lang w:val="en-US" w:eastAsia="zh-CN"/>
        </w:rPr>
        <w:t>引用依据</w:t>
      </w:r>
      <w:bookmarkEnd w:id="7"/>
    </w:p>
    <w:p w14:paraId="506FE808">
      <w:pPr>
        <w:pStyle w:val="29"/>
        <w:numPr>
          <w:ilvl w:val="0"/>
          <w:numId w:val="2"/>
        </w:numPr>
        <w:ind w:left="425" w:leftChars="0" w:hanging="425" w:firstLineChars="0"/>
        <w:rPr>
          <w:rFonts w:hint="eastAsia"/>
          <w:lang w:val="en-US" w:eastAsia="zh-CN"/>
        </w:rPr>
      </w:pPr>
      <w:r>
        <w:rPr>
          <w:rFonts w:hint="eastAsia"/>
          <w:lang w:val="en-US" w:eastAsia="zh-CN"/>
        </w:rPr>
        <w:t>GB/T 28827.1-2022 《信息技术服务 运行维护 第1部分：通用要求》</w:t>
      </w:r>
    </w:p>
    <w:p w14:paraId="5BFCA2F3">
      <w:pPr>
        <w:pStyle w:val="29"/>
        <w:numPr>
          <w:ilvl w:val="0"/>
          <w:numId w:val="2"/>
        </w:numPr>
        <w:ind w:left="425" w:leftChars="0" w:hanging="425" w:firstLineChars="0"/>
        <w:rPr>
          <w:rFonts w:hint="eastAsia"/>
          <w:lang w:val="en-US" w:eastAsia="zh-CN"/>
        </w:rPr>
      </w:pPr>
      <w:r>
        <w:rPr>
          <w:rFonts w:hint="eastAsia"/>
          <w:lang w:val="en-US" w:eastAsia="zh-CN"/>
        </w:rPr>
        <w:t>GB/T 28827.2-2012 《信息技术服务 运行维护 第2部分：交付规范》</w:t>
      </w:r>
    </w:p>
    <w:p w14:paraId="1E6D73A5">
      <w:pPr>
        <w:pStyle w:val="29"/>
        <w:numPr>
          <w:ilvl w:val="0"/>
          <w:numId w:val="2"/>
        </w:numPr>
        <w:ind w:left="425" w:leftChars="0" w:hanging="425" w:firstLineChars="0"/>
        <w:rPr>
          <w:rFonts w:hint="eastAsia"/>
          <w:lang w:val="en-US" w:eastAsia="zh-CN"/>
        </w:rPr>
      </w:pPr>
      <w:r>
        <w:rPr>
          <w:rFonts w:hint="eastAsia"/>
          <w:lang w:val="en-US" w:eastAsia="zh-CN"/>
        </w:rPr>
        <w:t>GB/T 28827.3-2012 《信息技术服务 运行维护 第3部分：应急响应规范》</w:t>
      </w:r>
    </w:p>
    <w:p w14:paraId="2D4A5D93">
      <w:pPr>
        <w:pStyle w:val="29"/>
        <w:numPr>
          <w:ilvl w:val="0"/>
          <w:numId w:val="2"/>
        </w:numPr>
        <w:ind w:left="425" w:leftChars="0" w:hanging="425" w:firstLineChars="0"/>
        <w:rPr>
          <w:rFonts w:hint="eastAsia"/>
          <w:lang w:val="en-US" w:eastAsia="zh-CN"/>
        </w:rPr>
      </w:pPr>
      <w:r>
        <w:rPr>
          <w:rFonts w:hint="eastAsia"/>
          <w:lang w:val="en-US" w:eastAsia="zh-CN"/>
        </w:rPr>
        <w:t>T/CESA 1299—2023 《信息技术服务 运行维护服务能力成熟度模型》</w:t>
      </w:r>
    </w:p>
    <w:p w14:paraId="3078E5D4">
      <w:pPr>
        <w:pStyle w:val="28"/>
        <w:keepNext w:val="0"/>
        <w:keepLines w:val="0"/>
        <w:pageBreakBefore w:val="0"/>
        <w:widowControl w:val="0"/>
        <w:kinsoku w:val="0"/>
        <w:wordWrap/>
        <w:overflowPunct/>
        <w:autoSpaceDE w:val="0"/>
        <w:autoSpaceDN w:val="0"/>
        <w:bidi w:val="0"/>
        <w:adjustRightInd w:val="0"/>
        <w:snapToGrid w:val="0"/>
        <w:textAlignment w:val="baseline"/>
      </w:pPr>
      <w:bookmarkStart w:id="8" w:name="_Toc30963"/>
      <w:r>
        <w:rPr>
          <w:rFonts w:hint="eastAsia"/>
          <w:lang w:val="en-US" w:eastAsia="zh-CN"/>
        </w:rPr>
        <w:t>定义与术语</w:t>
      </w:r>
      <w:bookmarkEnd w:id="8"/>
    </w:p>
    <w:p w14:paraId="0787BC96">
      <w:pPr>
        <w:pStyle w:val="30"/>
        <w:bidi w:val="0"/>
        <w:rPr>
          <w:rFonts w:hint="eastAsia"/>
        </w:rPr>
      </w:pPr>
      <w:r>
        <w:rPr>
          <w:rFonts w:hint="eastAsia"/>
          <w:lang w:val="en-US" w:eastAsia="zh-CN"/>
        </w:rPr>
        <w:t>服务</w:t>
      </w:r>
      <w:r>
        <w:rPr>
          <w:rFonts w:hint="eastAsia"/>
        </w:rPr>
        <w:t>知识</w:t>
      </w:r>
    </w:p>
    <w:p w14:paraId="282A83C6">
      <w:pPr>
        <w:pStyle w:val="29"/>
        <w:rPr>
          <w:rFonts w:hint="eastAsia"/>
        </w:rPr>
      </w:pPr>
      <w:r>
        <w:rPr>
          <w:rFonts w:hint="eastAsia"/>
        </w:rPr>
        <w:t>在运维服务过程中，通过对问题的分析、事件的解决及经验的积累所形成的，能够指导未来工作、提升运维效率与质量的系统性信息。主要包括但不限于：已验证的解决方案、故障处理方案、问题与已知错误、标准操作程序、技术白皮书等。</w:t>
      </w:r>
    </w:p>
    <w:p w14:paraId="6C67DB9A">
      <w:pPr>
        <w:pStyle w:val="30"/>
        <w:bidi w:val="0"/>
        <w:rPr>
          <w:rFonts w:hint="eastAsia"/>
        </w:rPr>
      </w:pPr>
      <w:r>
        <w:rPr>
          <w:rFonts w:hint="eastAsia"/>
        </w:rPr>
        <w:t>知识库</w:t>
      </w:r>
    </w:p>
    <w:p w14:paraId="6EB0C6F8">
      <w:pPr>
        <w:pStyle w:val="29"/>
        <w:rPr>
          <w:rFonts w:hint="eastAsia"/>
        </w:rPr>
      </w:pPr>
      <w:r>
        <w:rPr>
          <w:rFonts w:hint="eastAsia"/>
        </w:rPr>
        <w:t>用于存储、管理、共享知识的信息系统，是组织过程资产的核心组成部分。</w:t>
      </w:r>
    </w:p>
    <w:p w14:paraId="637BC963">
      <w:pPr>
        <w:pStyle w:val="30"/>
        <w:bidi w:val="0"/>
        <w:rPr>
          <w:rFonts w:hint="eastAsia"/>
        </w:rPr>
      </w:pPr>
      <w:r>
        <w:rPr>
          <w:rFonts w:hint="eastAsia"/>
        </w:rPr>
        <w:t>知识生命周期</w:t>
      </w:r>
    </w:p>
    <w:p w14:paraId="441E8E75">
      <w:pPr>
        <w:pStyle w:val="29"/>
      </w:pPr>
      <w:r>
        <w:rPr>
          <w:rFonts w:hint="eastAsia"/>
        </w:rPr>
        <w:t>指知识从识别、提交、审核、发布、使用、复审到归档或废止的全过程。</w:t>
      </w:r>
    </w:p>
    <w:p w14:paraId="60EF8C3F">
      <w:pPr>
        <w:pStyle w:val="28"/>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bookmarkStart w:id="9" w:name="_Toc14370"/>
      <w:r>
        <w:rPr>
          <w:rFonts w:hint="eastAsia"/>
          <w:lang w:val="en-US" w:eastAsia="zh-CN"/>
        </w:rPr>
        <w:t>管理内容与要求</w:t>
      </w:r>
      <w:bookmarkEnd w:id="9"/>
    </w:p>
    <w:p w14:paraId="2FA23940">
      <w:pPr>
        <w:pStyle w:val="30"/>
        <w:bidi w:val="0"/>
        <w:rPr>
          <w:rFonts w:hint="default"/>
          <w:lang w:val="en-US" w:eastAsia="zh-CN"/>
        </w:rPr>
      </w:pPr>
      <w:r>
        <w:rPr>
          <w:rFonts w:hint="default"/>
          <w:lang w:val="en-US" w:eastAsia="zh-CN"/>
        </w:rPr>
        <w:t>知识的识别与范围</w:t>
      </w:r>
    </w:p>
    <w:p w14:paraId="7255DA39">
      <w:pPr>
        <w:pStyle w:val="29"/>
        <w:rPr>
          <w:rFonts w:hint="default"/>
          <w:lang w:val="en-US" w:eastAsia="zh-CN"/>
        </w:rPr>
      </w:pPr>
      <w:r>
        <w:rPr>
          <w:rFonts w:hint="default"/>
          <w:lang w:val="en-US" w:eastAsia="zh-CN"/>
        </w:rPr>
        <w:t>在运维服务活动中，以下内容应被识别并提炼为知识：</w:t>
      </w:r>
    </w:p>
    <w:p w14:paraId="56D2A2C1">
      <w:pPr>
        <w:pStyle w:val="29"/>
        <w:rPr>
          <w:rFonts w:hint="default"/>
          <w:lang w:val="en-US" w:eastAsia="zh-CN"/>
        </w:rPr>
      </w:pPr>
      <w:r>
        <w:rPr>
          <w:rFonts w:hint="default"/>
          <w:lang w:val="en-US" w:eastAsia="zh-CN"/>
        </w:rPr>
        <w:t>重大事件、问题的根本原因分析与最终解决方案。</w:t>
      </w:r>
    </w:p>
    <w:p w14:paraId="67A3FFC4">
      <w:pPr>
        <w:pStyle w:val="29"/>
        <w:rPr>
          <w:rFonts w:hint="default"/>
          <w:lang w:val="en-US" w:eastAsia="zh-CN"/>
        </w:rPr>
      </w:pPr>
      <w:r>
        <w:rPr>
          <w:rFonts w:hint="default"/>
          <w:lang w:val="en-US" w:eastAsia="zh-CN"/>
        </w:rPr>
        <w:t>已验证可复用于解决某一类事件或问题的标准化解决方案。</w:t>
      </w:r>
    </w:p>
    <w:p w14:paraId="2716A844">
      <w:pPr>
        <w:pStyle w:val="29"/>
        <w:rPr>
          <w:rFonts w:hint="default"/>
          <w:lang w:val="en-US" w:eastAsia="zh-CN"/>
        </w:rPr>
      </w:pPr>
      <w:r>
        <w:rPr>
          <w:rFonts w:hint="default"/>
          <w:lang w:val="en-US" w:eastAsia="zh-CN"/>
        </w:rPr>
        <w:t>常见的已知错误及其规避或临时处理措施。</w:t>
      </w:r>
    </w:p>
    <w:p w14:paraId="5777B2E1">
      <w:pPr>
        <w:pStyle w:val="29"/>
        <w:rPr>
          <w:rFonts w:hint="default"/>
          <w:lang w:val="en-US" w:eastAsia="zh-CN"/>
        </w:rPr>
      </w:pPr>
      <w:r>
        <w:rPr>
          <w:rFonts w:hint="default"/>
          <w:lang w:val="en-US" w:eastAsia="zh-CN"/>
        </w:rPr>
        <w:t>标准化的系统配置、操作手册、巡检清单等技术文档。</w:t>
      </w:r>
    </w:p>
    <w:p w14:paraId="1396E504">
      <w:pPr>
        <w:pStyle w:val="29"/>
        <w:rPr>
          <w:rFonts w:hint="default"/>
          <w:lang w:val="en-US" w:eastAsia="zh-CN"/>
        </w:rPr>
      </w:pPr>
      <w:r>
        <w:rPr>
          <w:rFonts w:hint="default"/>
          <w:lang w:val="en-US" w:eastAsia="zh-CN"/>
        </w:rPr>
        <w:t>其他对运维工作具有显著指导意义的技术与管理经验。</w:t>
      </w:r>
    </w:p>
    <w:p w14:paraId="03B79206">
      <w:pPr>
        <w:pStyle w:val="30"/>
        <w:bidi w:val="0"/>
        <w:rPr>
          <w:rFonts w:hint="default"/>
          <w:lang w:val="en-US" w:eastAsia="zh-CN"/>
        </w:rPr>
      </w:pPr>
      <w:r>
        <w:rPr>
          <w:rFonts w:hint="default"/>
          <w:lang w:val="en-US" w:eastAsia="zh-CN"/>
        </w:rPr>
        <w:t>知识提交要求</w:t>
      </w:r>
    </w:p>
    <w:p w14:paraId="2339D74A">
      <w:pPr>
        <w:pStyle w:val="29"/>
        <w:rPr>
          <w:rFonts w:hint="default"/>
          <w:lang w:val="en-US" w:eastAsia="zh-CN"/>
        </w:rPr>
      </w:pPr>
      <w:r>
        <w:rPr>
          <w:rFonts w:hint="default"/>
          <w:lang w:val="en-US" w:eastAsia="zh-CN"/>
        </w:rPr>
        <w:t>各运维工程师应按季度指标要求，完成规定数量且通过审核的知识提交。</w:t>
      </w:r>
    </w:p>
    <w:p w14:paraId="00240F95">
      <w:pPr>
        <w:pStyle w:val="29"/>
        <w:rPr>
          <w:rFonts w:hint="default"/>
          <w:lang w:val="en-US" w:eastAsia="zh-CN"/>
        </w:rPr>
      </w:pPr>
      <w:r>
        <w:rPr>
          <w:rFonts w:hint="default"/>
          <w:lang w:val="en-US" w:eastAsia="zh-CN"/>
        </w:rPr>
        <w:t>知识提交应遵循“随产生、随提交”的原则，确保知识的及时性。</w:t>
      </w:r>
    </w:p>
    <w:p w14:paraId="593E618A">
      <w:pPr>
        <w:pStyle w:val="29"/>
        <w:rPr>
          <w:rFonts w:hint="default"/>
          <w:lang w:val="en-US" w:eastAsia="zh-CN"/>
        </w:rPr>
      </w:pPr>
      <w:r>
        <w:rPr>
          <w:rFonts w:hint="default"/>
          <w:lang w:val="en-US" w:eastAsia="zh-CN"/>
        </w:rPr>
        <w:t>提交人须确保知识内容真实、来源清晰，并使用公司规定的统一模板。</w:t>
      </w:r>
    </w:p>
    <w:p w14:paraId="51463BD6">
      <w:pPr>
        <w:pStyle w:val="30"/>
        <w:bidi w:val="0"/>
        <w:rPr>
          <w:rFonts w:hint="default"/>
          <w:lang w:val="en-US" w:eastAsia="zh-CN"/>
        </w:rPr>
      </w:pPr>
      <w:r>
        <w:rPr>
          <w:rFonts w:hint="default"/>
          <w:lang w:val="en-US" w:eastAsia="zh-CN"/>
        </w:rPr>
        <w:t>知识内容规范</w:t>
      </w:r>
    </w:p>
    <w:p w14:paraId="3A563243">
      <w:pPr>
        <w:pStyle w:val="29"/>
        <w:rPr>
          <w:rFonts w:hint="default"/>
          <w:lang w:val="en-US" w:eastAsia="zh-CN"/>
        </w:rPr>
      </w:pPr>
      <w:r>
        <w:rPr>
          <w:rFonts w:hint="default"/>
          <w:lang w:val="en-US" w:eastAsia="zh-CN"/>
        </w:rPr>
        <w:t>标题规范： 格式为“【分类】+ 核心问题现象简述”，要求简洁、明确。</w:t>
      </w:r>
    </w:p>
    <w:p w14:paraId="156138C3">
      <w:pPr>
        <w:pStyle w:val="29"/>
        <w:rPr>
          <w:rFonts w:hint="default"/>
          <w:lang w:val="en-US" w:eastAsia="zh-CN"/>
        </w:rPr>
      </w:pPr>
      <w:r>
        <w:rPr>
          <w:rFonts w:hint="default"/>
          <w:lang w:val="en-US" w:eastAsia="zh-CN"/>
        </w:rPr>
        <w:t>内容结构： 必须包含“症状描述”和“解决方案”两部分。症状描述应清晰阐述现象、环境等信息；解决方案应详述分析过程、操作步骤及验证结果。</w:t>
      </w:r>
    </w:p>
    <w:p w14:paraId="39E8FD5F">
      <w:pPr>
        <w:pStyle w:val="29"/>
        <w:rPr>
          <w:rFonts w:hint="default"/>
          <w:lang w:val="en-US" w:eastAsia="zh-CN"/>
        </w:rPr>
      </w:pPr>
      <w:r>
        <w:rPr>
          <w:rFonts w:hint="default"/>
          <w:lang w:val="en-US" w:eastAsia="zh-CN"/>
        </w:rPr>
        <w:t>信息脱敏： 内容中不得出现客户敏感信息、个人隐私、具体人员姓名及具体时间等。</w:t>
      </w:r>
    </w:p>
    <w:p w14:paraId="31ECA7FA">
      <w:pPr>
        <w:pStyle w:val="29"/>
        <w:rPr>
          <w:rFonts w:hint="default"/>
          <w:lang w:val="en-US" w:eastAsia="zh-CN"/>
        </w:rPr>
      </w:pPr>
      <w:r>
        <w:rPr>
          <w:rFonts w:hint="default"/>
          <w:lang w:val="en-US" w:eastAsia="zh-CN"/>
        </w:rPr>
        <w:t>格式与版权： 必须使用公司规定的知识文档格式。引用互联网内容需清除原文格式及水印，并注明出处，禁止直接复制粘贴。</w:t>
      </w:r>
    </w:p>
    <w:p w14:paraId="35850C24">
      <w:pPr>
        <w:pStyle w:val="30"/>
        <w:bidi w:val="0"/>
        <w:rPr>
          <w:rFonts w:hint="default"/>
          <w:lang w:val="en-US" w:eastAsia="zh-CN"/>
        </w:rPr>
      </w:pPr>
      <w:r>
        <w:rPr>
          <w:rFonts w:hint="default"/>
          <w:lang w:val="en-US" w:eastAsia="zh-CN"/>
        </w:rPr>
        <w:t>知识流程管理</w:t>
      </w:r>
    </w:p>
    <w:p w14:paraId="5007A482">
      <w:pPr>
        <w:pStyle w:val="29"/>
        <w:rPr>
          <w:rFonts w:hint="default"/>
          <w:lang w:val="en-US" w:eastAsia="zh-CN"/>
        </w:rPr>
      </w:pPr>
      <w:r>
        <w:rPr>
          <w:rFonts w:hint="default"/>
          <w:lang w:val="en-US" w:eastAsia="zh-CN"/>
        </w:rPr>
        <w:t>知识生命周期管理遵循以下核心流程，具体流程图见附件一。</w:t>
      </w:r>
    </w:p>
    <w:p w14:paraId="3077FA5F">
      <w:pPr>
        <w:pStyle w:val="29"/>
        <w:rPr>
          <w:rFonts w:hint="default"/>
          <w:lang w:val="en-US" w:eastAsia="zh-CN"/>
        </w:rPr>
      </w:pPr>
      <w:r>
        <w:rPr>
          <w:rFonts w:hint="default"/>
          <w:lang w:val="en-US" w:eastAsia="zh-CN"/>
        </w:rPr>
        <w:t>提交： 知识提交人收集素材，填写《知识提交单》（附件二），提交至知识审核人。</w:t>
      </w:r>
    </w:p>
    <w:p w14:paraId="6C609C2E">
      <w:pPr>
        <w:pStyle w:val="29"/>
        <w:rPr>
          <w:rFonts w:hint="default"/>
          <w:lang w:val="en-US" w:eastAsia="zh-CN"/>
        </w:rPr>
      </w:pPr>
      <w:r>
        <w:rPr>
          <w:rFonts w:hint="default"/>
          <w:lang w:val="en-US" w:eastAsia="zh-CN"/>
        </w:rPr>
        <w:t>审核： 知识审核人对知识的准确性、价值性、规范性进行评审，给出“通过”、“修改后提交”或“驳回”的结论。</w:t>
      </w:r>
    </w:p>
    <w:p w14:paraId="10210620">
      <w:pPr>
        <w:pStyle w:val="29"/>
        <w:rPr>
          <w:rFonts w:hint="default"/>
          <w:lang w:val="en-US" w:eastAsia="zh-CN"/>
        </w:rPr>
      </w:pPr>
      <w:r>
        <w:rPr>
          <w:rFonts w:hint="default"/>
          <w:lang w:val="en-US" w:eastAsia="zh-CN"/>
        </w:rPr>
        <w:t>发布： 知识管理员对审核通过的知识进行最终格式校对、分类与编码，并发布至知识库，通知相关人员。</w:t>
      </w:r>
    </w:p>
    <w:p w14:paraId="77C9710B">
      <w:pPr>
        <w:pStyle w:val="29"/>
        <w:rPr>
          <w:rFonts w:hint="default"/>
          <w:lang w:val="en-US" w:eastAsia="zh-CN"/>
        </w:rPr>
      </w:pPr>
      <w:r>
        <w:rPr>
          <w:rFonts w:hint="default"/>
          <w:lang w:val="en-US" w:eastAsia="zh-CN"/>
        </w:rPr>
        <w:t>使用与共享： 全体员工应优先在知识库中检索解决方案。知识管理员应通过多种方式推广重要知识的应用。</w:t>
      </w:r>
    </w:p>
    <w:p w14:paraId="3208D873">
      <w:pPr>
        <w:pStyle w:val="29"/>
        <w:rPr>
          <w:rFonts w:hint="default"/>
          <w:lang w:val="en-US" w:eastAsia="zh-CN"/>
        </w:rPr>
      </w:pPr>
      <w:r>
        <w:rPr>
          <w:rFonts w:hint="default"/>
          <w:lang w:val="en-US" w:eastAsia="zh-CN"/>
        </w:rPr>
        <w:t>定期复审： 知识管理员每年至少组织一次全面复审，由知识审核人对库内知识的有效性进行评定，确定其状态为“有效”、“需更新”或“废止”。</w:t>
      </w:r>
    </w:p>
    <w:p w14:paraId="092E4656">
      <w:pPr>
        <w:pStyle w:val="30"/>
        <w:bidi w:val="0"/>
        <w:rPr>
          <w:rFonts w:hint="default"/>
          <w:lang w:val="en-US" w:eastAsia="zh-CN"/>
        </w:rPr>
      </w:pPr>
      <w:r>
        <w:rPr>
          <w:rFonts w:hint="eastAsia"/>
          <w:lang w:val="en-US" w:eastAsia="zh-CN"/>
        </w:rPr>
        <w:t>考核指标</w:t>
      </w:r>
    </w:p>
    <w:tbl>
      <w:tblPr>
        <w:tblStyle w:val="2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41"/>
        <w:gridCol w:w="2049"/>
        <w:gridCol w:w="3427"/>
        <w:gridCol w:w="1107"/>
        <w:gridCol w:w="1094"/>
      </w:tblGrid>
      <w:tr w14:paraId="0DF3A9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41" w:type="dxa"/>
          </w:tcPr>
          <w:p w14:paraId="0F3BE436">
            <w:pPr>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rPr>
                <w:rFonts w:hint="default"/>
                <w:sz w:val="21"/>
                <w:szCs w:val="21"/>
                <w:lang w:val="en-US" w:eastAsia="zh-CN"/>
              </w:rPr>
            </w:pPr>
            <w:bookmarkStart w:id="16" w:name="_GoBack"/>
            <w:bookmarkEnd w:id="16"/>
            <w:r>
              <w:rPr>
                <w:rFonts w:hint="eastAsia"/>
                <w:sz w:val="21"/>
                <w:szCs w:val="21"/>
                <w:lang w:val="en-US" w:eastAsia="zh-CN"/>
              </w:rPr>
              <w:t>序号</w:t>
            </w:r>
          </w:p>
        </w:tc>
        <w:tc>
          <w:tcPr>
            <w:tcW w:w="2049" w:type="dxa"/>
          </w:tcPr>
          <w:p w14:paraId="28F79B26">
            <w:pPr>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rPr>
                <w:rFonts w:hint="default"/>
                <w:sz w:val="21"/>
                <w:szCs w:val="21"/>
                <w:lang w:val="en-US" w:eastAsia="zh-CN"/>
              </w:rPr>
            </w:pPr>
            <w:r>
              <w:rPr>
                <w:rFonts w:hint="eastAsia"/>
                <w:sz w:val="21"/>
                <w:szCs w:val="21"/>
                <w:lang w:val="en-US" w:eastAsia="zh-CN"/>
              </w:rPr>
              <w:t>衡量指标</w:t>
            </w:r>
          </w:p>
        </w:tc>
        <w:tc>
          <w:tcPr>
            <w:tcW w:w="3427" w:type="dxa"/>
          </w:tcPr>
          <w:p w14:paraId="66256F93">
            <w:pPr>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rPr>
                <w:rFonts w:hint="default"/>
                <w:sz w:val="21"/>
                <w:szCs w:val="21"/>
                <w:lang w:val="en-US" w:eastAsia="zh-CN"/>
              </w:rPr>
            </w:pPr>
            <w:r>
              <w:rPr>
                <w:rFonts w:hint="eastAsia"/>
                <w:sz w:val="21"/>
                <w:szCs w:val="21"/>
                <w:lang w:val="en-US" w:eastAsia="zh-CN"/>
              </w:rPr>
              <w:t>指标计算说明</w:t>
            </w:r>
          </w:p>
        </w:tc>
        <w:tc>
          <w:tcPr>
            <w:tcW w:w="1107" w:type="dxa"/>
          </w:tcPr>
          <w:p w14:paraId="313D7B58">
            <w:pPr>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rPr>
                <w:rFonts w:hint="default"/>
                <w:sz w:val="21"/>
                <w:szCs w:val="21"/>
                <w:lang w:val="en-US" w:eastAsia="zh-CN"/>
              </w:rPr>
            </w:pPr>
            <w:r>
              <w:rPr>
                <w:rFonts w:hint="eastAsia"/>
                <w:sz w:val="21"/>
                <w:szCs w:val="21"/>
                <w:lang w:val="en-US" w:eastAsia="zh-CN"/>
              </w:rPr>
              <w:t>考核频次</w:t>
            </w:r>
          </w:p>
        </w:tc>
        <w:tc>
          <w:tcPr>
            <w:tcW w:w="1094" w:type="dxa"/>
          </w:tcPr>
          <w:p w14:paraId="7583A693">
            <w:pPr>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rPr>
                <w:rFonts w:hint="default"/>
                <w:sz w:val="21"/>
                <w:szCs w:val="21"/>
                <w:lang w:val="en-US" w:eastAsia="zh-CN"/>
              </w:rPr>
            </w:pPr>
            <w:r>
              <w:rPr>
                <w:rFonts w:hint="eastAsia"/>
                <w:sz w:val="21"/>
                <w:szCs w:val="21"/>
                <w:lang w:val="en-US" w:eastAsia="zh-CN"/>
              </w:rPr>
              <w:t>目标值</w:t>
            </w:r>
          </w:p>
        </w:tc>
      </w:tr>
      <w:tr w14:paraId="0F5B8C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41" w:type="dxa"/>
          </w:tcPr>
          <w:p w14:paraId="13B0B5A9">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rPr>
                <w:rFonts w:hint="default"/>
                <w:sz w:val="21"/>
                <w:szCs w:val="21"/>
                <w:vertAlign w:val="baseline"/>
                <w:lang w:val="en-US" w:eastAsia="zh-CN"/>
              </w:rPr>
            </w:pPr>
            <w:r>
              <w:rPr>
                <w:rFonts w:hint="eastAsia"/>
                <w:sz w:val="21"/>
                <w:szCs w:val="21"/>
                <w:vertAlign w:val="baseline"/>
                <w:lang w:val="en-US" w:eastAsia="zh-CN"/>
              </w:rPr>
              <w:t>1</w:t>
            </w:r>
          </w:p>
        </w:tc>
        <w:tc>
          <w:tcPr>
            <w:tcW w:w="2049" w:type="dxa"/>
          </w:tcPr>
          <w:p w14:paraId="1E841C6E">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rPr>
                <w:rFonts w:hint="default" w:eastAsia="宋体"/>
                <w:sz w:val="21"/>
                <w:szCs w:val="21"/>
                <w:vertAlign w:val="baseline"/>
                <w:lang w:val="en-US" w:eastAsia="zh-CN"/>
              </w:rPr>
            </w:pPr>
            <w:r>
              <w:rPr>
                <w:rFonts w:hint="eastAsia"/>
                <w:sz w:val="21"/>
                <w:szCs w:val="21"/>
                <w:vertAlign w:val="baseline"/>
                <w:lang w:val="en-US" w:eastAsia="zh-CN"/>
              </w:rPr>
              <w:t>服务知识利用率</w:t>
            </w:r>
          </w:p>
        </w:tc>
        <w:tc>
          <w:tcPr>
            <w:tcW w:w="3427" w:type="dxa"/>
          </w:tcPr>
          <w:p w14:paraId="1BD91A94">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rPr>
                <w:rFonts w:hint="default" w:eastAsia="宋体"/>
                <w:sz w:val="21"/>
                <w:szCs w:val="21"/>
                <w:vertAlign w:val="baseline"/>
                <w:lang w:val="en-US" w:eastAsia="zh-CN"/>
              </w:rPr>
            </w:pPr>
            <w:r>
              <w:rPr>
                <w:rFonts w:hint="eastAsia"/>
                <w:sz w:val="21"/>
                <w:szCs w:val="21"/>
                <w:vertAlign w:val="baseline"/>
                <w:lang w:val="en-US" w:eastAsia="zh-CN"/>
              </w:rPr>
              <w:t>（引用知识库解决的工单数/考核期内工单总数）*100%</w:t>
            </w:r>
          </w:p>
        </w:tc>
        <w:tc>
          <w:tcPr>
            <w:tcW w:w="1107" w:type="dxa"/>
          </w:tcPr>
          <w:p w14:paraId="2FCE6EE4">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rPr>
                <w:rFonts w:hint="default"/>
                <w:sz w:val="21"/>
                <w:szCs w:val="21"/>
                <w:vertAlign w:val="baseline"/>
                <w:lang w:val="en-US" w:eastAsia="zh-CN"/>
              </w:rPr>
            </w:pPr>
            <w:r>
              <w:rPr>
                <w:rFonts w:hint="eastAsia"/>
                <w:sz w:val="21"/>
                <w:szCs w:val="21"/>
                <w:vertAlign w:val="baseline"/>
                <w:lang w:val="en-US" w:eastAsia="zh-CN"/>
              </w:rPr>
              <w:t>月度</w:t>
            </w:r>
          </w:p>
        </w:tc>
        <w:tc>
          <w:tcPr>
            <w:tcW w:w="1094" w:type="dxa"/>
          </w:tcPr>
          <w:p w14:paraId="55CD9B70">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rPr>
                <w:rFonts w:hint="default"/>
                <w:sz w:val="21"/>
                <w:szCs w:val="21"/>
                <w:vertAlign w:val="baseline"/>
                <w:lang w:val="en-US" w:eastAsia="zh-CN"/>
              </w:rPr>
            </w:pPr>
            <w:r>
              <w:rPr>
                <w:rFonts w:hint="eastAsia" w:ascii="微软雅黑" w:hAnsi="微软雅黑" w:eastAsia="微软雅黑" w:cs="微软雅黑"/>
                <w:sz w:val="21"/>
                <w:szCs w:val="21"/>
                <w:vertAlign w:val="baseline"/>
                <w:lang w:val="en-US" w:eastAsia="zh-CN"/>
              </w:rPr>
              <w:t>≥50</w:t>
            </w:r>
            <w:r>
              <w:rPr>
                <w:rFonts w:hint="eastAsia"/>
                <w:sz w:val="21"/>
                <w:szCs w:val="21"/>
                <w:vertAlign w:val="baseline"/>
                <w:lang w:val="en-US" w:eastAsia="zh-CN"/>
              </w:rPr>
              <w:t>%</w:t>
            </w:r>
          </w:p>
        </w:tc>
      </w:tr>
      <w:tr w14:paraId="386C94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41" w:type="dxa"/>
          </w:tcPr>
          <w:p w14:paraId="42883CFA">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rPr>
                <w:rFonts w:hint="default"/>
                <w:sz w:val="21"/>
                <w:szCs w:val="21"/>
                <w:vertAlign w:val="baseline"/>
                <w:lang w:val="en-US" w:eastAsia="zh-CN"/>
              </w:rPr>
            </w:pPr>
            <w:r>
              <w:rPr>
                <w:rFonts w:hint="eastAsia"/>
                <w:sz w:val="21"/>
                <w:szCs w:val="21"/>
                <w:vertAlign w:val="baseline"/>
                <w:lang w:val="en-US" w:eastAsia="zh-CN"/>
              </w:rPr>
              <w:t>2</w:t>
            </w:r>
          </w:p>
        </w:tc>
        <w:tc>
          <w:tcPr>
            <w:tcW w:w="2049" w:type="dxa"/>
          </w:tcPr>
          <w:p w14:paraId="63F1A3A6">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rPr>
                <w:rFonts w:hint="default"/>
                <w:sz w:val="21"/>
                <w:szCs w:val="21"/>
                <w:vertAlign w:val="baseline"/>
                <w:lang w:val="en-US" w:eastAsia="zh-CN"/>
              </w:rPr>
            </w:pPr>
            <w:r>
              <w:rPr>
                <w:rFonts w:hint="eastAsia"/>
                <w:sz w:val="21"/>
                <w:szCs w:val="21"/>
                <w:vertAlign w:val="baseline"/>
                <w:lang w:val="en-US" w:eastAsia="zh-CN"/>
              </w:rPr>
              <w:t>服务知识新增条目</w:t>
            </w:r>
          </w:p>
        </w:tc>
        <w:tc>
          <w:tcPr>
            <w:tcW w:w="3427" w:type="dxa"/>
          </w:tcPr>
          <w:p w14:paraId="354CA6BE">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rPr>
                <w:rFonts w:hint="default"/>
                <w:sz w:val="21"/>
                <w:szCs w:val="21"/>
                <w:vertAlign w:val="baseline"/>
                <w:lang w:val="en-US" w:eastAsia="zh-CN"/>
              </w:rPr>
            </w:pPr>
            <w:r>
              <w:rPr>
                <w:rFonts w:hint="eastAsia"/>
                <w:sz w:val="21"/>
                <w:szCs w:val="21"/>
                <w:vertAlign w:val="baseline"/>
                <w:lang w:val="en-US" w:eastAsia="zh-CN"/>
              </w:rPr>
              <w:t>数量，每季度新录入的服务知识</w:t>
            </w:r>
          </w:p>
        </w:tc>
        <w:tc>
          <w:tcPr>
            <w:tcW w:w="1107" w:type="dxa"/>
          </w:tcPr>
          <w:p w14:paraId="143E73E5">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rPr>
                <w:rFonts w:hint="default"/>
                <w:sz w:val="21"/>
                <w:szCs w:val="21"/>
                <w:vertAlign w:val="baseline"/>
                <w:lang w:val="en-US" w:eastAsia="zh-CN"/>
              </w:rPr>
            </w:pPr>
            <w:r>
              <w:rPr>
                <w:rFonts w:hint="eastAsia"/>
                <w:sz w:val="21"/>
                <w:szCs w:val="21"/>
                <w:vertAlign w:val="baseline"/>
                <w:lang w:val="en-US" w:eastAsia="zh-CN"/>
              </w:rPr>
              <w:t>季度</w:t>
            </w:r>
          </w:p>
        </w:tc>
        <w:tc>
          <w:tcPr>
            <w:tcW w:w="1094" w:type="dxa"/>
          </w:tcPr>
          <w:p w14:paraId="24CB29A2">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rPr>
                <w:rFonts w:hint="default" w:ascii="微软雅黑" w:hAnsi="微软雅黑" w:eastAsia="微软雅黑" w:cs="微软雅黑"/>
                <w:sz w:val="21"/>
                <w:szCs w:val="21"/>
                <w:vertAlign w:val="baseline"/>
                <w:lang w:val="en-US" w:eastAsia="zh-CN"/>
              </w:rPr>
            </w:pPr>
            <w:r>
              <w:rPr>
                <w:rFonts w:hint="eastAsia" w:ascii="微软雅黑" w:hAnsi="微软雅黑" w:eastAsia="微软雅黑" w:cs="微软雅黑"/>
                <w:sz w:val="21"/>
                <w:szCs w:val="21"/>
                <w:vertAlign w:val="baseline"/>
                <w:lang w:val="en-US" w:eastAsia="zh-CN"/>
              </w:rPr>
              <w:t>30条</w:t>
            </w:r>
          </w:p>
        </w:tc>
      </w:tr>
    </w:tbl>
    <w:p w14:paraId="09511DF3">
      <w:pPr>
        <w:pStyle w:val="29"/>
        <w:rPr>
          <w:rFonts w:hint="default"/>
          <w:lang w:val="en-US" w:eastAsia="zh-CN"/>
        </w:rPr>
      </w:pPr>
    </w:p>
    <w:p w14:paraId="646CB7F1">
      <w:pPr>
        <w:pStyle w:val="28"/>
        <w:keepNext w:val="0"/>
        <w:keepLines w:val="0"/>
        <w:pageBreakBefore w:val="0"/>
        <w:widowControl w:val="0"/>
        <w:kinsoku w:val="0"/>
        <w:wordWrap/>
        <w:overflowPunct/>
        <w:autoSpaceDE w:val="0"/>
        <w:autoSpaceDN w:val="0"/>
        <w:bidi w:val="0"/>
        <w:adjustRightInd w:val="0"/>
        <w:snapToGrid w:val="0"/>
        <w:textAlignment w:val="baseline"/>
        <w:rPr>
          <w:rStyle w:val="38"/>
          <w:rFonts w:hint="default" w:eastAsia="宋体"/>
          <w:lang w:val="en-US" w:eastAsia="zh-CN"/>
        </w:rPr>
      </w:pPr>
      <w:bookmarkStart w:id="10" w:name="bookmark3"/>
      <w:bookmarkEnd w:id="10"/>
      <w:bookmarkStart w:id="11" w:name="_Toc17424"/>
      <w:bookmarkStart w:id="12" w:name="_Toc26732"/>
      <w:r>
        <w:rPr>
          <w:rStyle w:val="38"/>
          <w:rFonts w:hint="eastAsia" w:eastAsia="宋体"/>
          <w:lang w:val="en-US" w:eastAsia="zh-CN"/>
        </w:rPr>
        <w:t>附则</w:t>
      </w:r>
      <w:bookmarkEnd w:id="11"/>
      <w:bookmarkEnd w:id="12"/>
    </w:p>
    <w:p w14:paraId="282C941D">
      <w:pPr>
        <w:keepNext w:val="0"/>
        <w:keepLines w:val="0"/>
        <w:pageBreakBefore w:val="0"/>
        <w:widowControl w:val="0"/>
        <w:numPr>
          <w:ilvl w:val="0"/>
          <w:numId w:val="3"/>
        </w:numPr>
        <w:kinsoku w:val="0"/>
        <w:wordWrap/>
        <w:overflowPunct/>
        <w:topLinePunct/>
        <w:autoSpaceDE w:val="0"/>
        <w:autoSpaceDN w:val="0"/>
        <w:bidi w:val="0"/>
        <w:adjustRightInd w:val="0"/>
        <w:snapToGrid w:val="0"/>
        <w:spacing w:line="360" w:lineRule="auto"/>
        <w:ind w:left="425" w:leftChars="0" w:hanging="425" w:firstLineChars="0"/>
        <w:textAlignment w:val="baseline"/>
        <w:rPr>
          <w:rFonts w:ascii="宋体" w:hAnsi="宋体" w:eastAsia="宋体" w:cs="宋体"/>
          <w:sz w:val="24"/>
          <w:szCs w:val="24"/>
        </w:rPr>
      </w:pPr>
      <w:r>
        <w:rPr>
          <w:rFonts w:ascii="宋体" w:hAnsi="宋体" w:eastAsia="宋体" w:cs="宋体"/>
          <w:spacing w:val="-1"/>
          <w:sz w:val="24"/>
          <w:szCs w:val="24"/>
        </w:rPr>
        <w:t>本制度最终解释权和修订权归</w:t>
      </w:r>
      <w:r>
        <w:rPr>
          <w:rFonts w:hint="eastAsia" w:ascii="宋体" w:hAnsi="宋体" w:cs="宋体"/>
          <w:spacing w:val="-1"/>
          <w:sz w:val="24"/>
          <w:szCs w:val="24"/>
          <w:lang w:val="en-US" w:eastAsia="zh-CN"/>
        </w:rPr>
        <w:t>运维</w:t>
      </w:r>
      <w:r>
        <w:rPr>
          <w:rFonts w:hint="eastAsia" w:ascii="宋体" w:hAnsi="宋体" w:eastAsia="宋体" w:cs="宋体"/>
          <w:spacing w:val="-1"/>
          <w:sz w:val="24"/>
          <w:szCs w:val="24"/>
          <w:lang w:eastAsia="zh-CN"/>
        </w:rPr>
        <w:t>部</w:t>
      </w:r>
      <w:r>
        <w:rPr>
          <w:rFonts w:ascii="宋体" w:hAnsi="宋体" w:eastAsia="宋体" w:cs="宋体"/>
          <w:spacing w:val="-1"/>
          <w:sz w:val="24"/>
          <w:szCs w:val="24"/>
        </w:rPr>
        <w:t>。</w:t>
      </w:r>
    </w:p>
    <w:p w14:paraId="55478B85">
      <w:pPr>
        <w:keepNext w:val="0"/>
        <w:keepLines w:val="0"/>
        <w:pageBreakBefore w:val="0"/>
        <w:widowControl w:val="0"/>
        <w:numPr>
          <w:ilvl w:val="0"/>
          <w:numId w:val="3"/>
        </w:numPr>
        <w:kinsoku w:val="0"/>
        <w:wordWrap/>
        <w:overflowPunct/>
        <w:topLinePunct/>
        <w:autoSpaceDE w:val="0"/>
        <w:autoSpaceDN w:val="0"/>
        <w:bidi w:val="0"/>
        <w:adjustRightInd w:val="0"/>
        <w:snapToGrid w:val="0"/>
        <w:spacing w:line="360" w:lineRule="auto"/>
        <w:ind w:left="425" w:leftChars="0" w:hanging="425" w:firstLineChars="0"/>
        <w:textAlignment w:val="baseline"/>
        <w:rPr>
          <w:rFonts w:hint="default"/>
          <w:lang w:val="en-US" w:eastAsia="zh-CN"/>
        </w:rPr>
      </w:pPr>
      <w:r>
        <w:rPr>
          <w:rFonts w:ascii="宋体" w:hAnsi="宋体" w:eastAsia="宋体" w:cs="宋体"/>
          <w:spacing w:val="-2"/>
          <w:sz w:val="24"/>
          <w:szCs w:val="24"/>
        </w:rPr>
        <w:t>本制度自颁布之日起施行。</w:t>
      </w:r>
    </w:p>
    <w:p w14:paraId="29412FC6">
      <w:pPr>
        <w:pStyle w:val="28"/>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bookmarkStart w:id="13" w:name="bookmark14"/>
      <w:bookmarkEnd w:id="13"/>
      <w:bookmarkStart w:id="14" w:name="_Toc3387"/>
      <w:r>
        <w:rPr>
          <w:rFonts w:hint="eastAsia"/>
          <w:lang w:val="en-US" w:eastAsia="zh-CN"/>
        </w:rPr>
        <w:t>附件</w:t>
      </w:r>
      <w:bookmarkEnd w:id="14"/>
    </w:p>
    <w:p w14:paraId="4863664D">
      <w:pPr>
        <w:pStyle w:val="28"/>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bookmarkStart w:id="15" w:name="_Toc16438"/>
      <w:r>
        <w:rPr>
          <w:rFonts w:hint="eastAsia"/>
          <w:lang w:val="en-US" w:eastAsia="zh-CN"/>
        </w:rPr>
        <w:t>记录</w:t>
      </w:r>
      <w:bookmarkEnd w:id="15"/>
    </w:p>
    <w:p w14:paraId="05F117FD">
      <w:pPr>
        <w:pStyle w:val="29"/>
        <w:rPr>
          <w:rFonts w:hint="default"/>
          <w:lang w:val="en-US" w:eastAsia="zh-CN"/>
        </w:rPr>
      </w:pPr>
      <w:r>
        <w:rPr>
          <w:rFonts w:hint="eastAsia"/>
          <w:lang w:val="en-US" w:eastAsia="zh-CN"/>
        </w:rPr>
        <w:t>无</w:t>
      </w:r>
    </w:p>
    <w:sectPr>
      <w:headerReference r:id="rId5" w:type="default"/>
      <w:pgSz w:w="11906" w:h="16838"/>
      <w:pgMar w:top="1417" w:right="1800" w:bottom="1440" w:left="1800" w:header="1140"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Consolas">
    <w:panose1 w:val="020B0609020204030204"/>
    <w:charset w:val="00"/>
    <w:family w:val="auto"/>
    <w:pitch w:val="default"/>
    <w:sig w:usb0="E00006FF" w:usb1="0000FCFF" w:usb2="00000001" w:usb3="00000000" w:csb0="6000019F" w:csb1="DFD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619F5D">
    <w:pPr>
      <w:pStyle w:val="15"/>
      <w:pBdr>
        <w:bottom w:val="single" w:color="auto" w:sz="4" w:space="1"/>
      </w:pBdr>
      <w:tabs>
        <w:tab w:val="left" w:pos="335"/>
        <w:tab w:val="right" w:pos="8426"/>
      </w:tabs>
      <w:jc w:val="right"/>
      <w:rPr>
        <w:rFonts w:hint="eastAsia" w:eastAsiaTheme="minorEastAsia"/>
        <w:lang w:eastAsia="zh-CN"/>
      </w:rPr>
    </w:pPr>
    <w:r>
      <w:rPr>
        <w:rFonts w:hint="eastAsia" w:eastAsiaTheme="minorEastAsia"/>
        <w:lang w:val="en-US" w:eastAsia="zh-CN"/>
      </w:rPr>
      <w:drawing>
        <wp:anchor distT="0" distB="0" distL="114300" distR="114300" simplePos="0" relativeHeight="251660288" behindDoc="0" locked="0" layoutInCell="1" allowOverlap="1">
          <wp:simplePos x="0" y="0"/>
          <wp:positionH relativeFrom="column">
            <wp:posOffset>67310</wp:posOffset>
          </wp:positionH>
          <wp:positionV relativeFrom="paragraph">
            <wp:posOffset>-345440</wp:posOffset>
          </wp:positionV>
          <wp:extent cx="718820" cy="461010"/>
          <wp:effectExtent l="0" t="0" r="12700" b="11430"/>
          <wp:wrapNone/>
          <wp:docPr id="1" name="图片 1" desc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2"/>
                  <pic:cNvPicPr>
                    <a:picLocks noChangeAspect="1"/>
                  </pic:cNvPicPr>
                </pic:nvPicPr>
                <pic:blipFill>
                  <a:blip r:embed="rId1"/>
                  <a:stretch>
                    <a:fillRect/>
                  </a:stretch>
                </pic:blipFill>
                <pic:spPr>
                  <a:xfrm>
                    <a:off x="0" y="0"/>
                    <a:ext cx="718820" cy="461010"/>
                  </a:xfrm>
                  <a:prstGeom prst="rect">
                    <a:avLst/>
                  </a:prstGeom>
                </pic:spPr>
              </pic:pic>
            </a:graphicData>
          </a:graphic>
        </wp:anchor>
      </w:drawing>
    </w:r>
    <w:r>
      <w:rPr>
        <w:rFonts w:hint="eastAsia" w:eastAsiaTheme="minorEastAsia"/>
        <w:lang w:val="en-US" w:eastAsia="zh-CN"/>
      </w:rPr>
      <w:tab/>
    </w:r>
    <w:r>
      <w:rPr>
        <w:rFonts w:hint="eastAsia" w:eastAsiaTheme="minorEastAsia"/>
        <w:lang w:val="en-US" w:eastAsia="zh-CN"/>
      </w:rPr>
      <w:tab/>
    </w:r>
    <w:r>
      <w:rPr>
        <w:rFonts w:hint="eastAsia" w:eastAsiaTheme="minorEastAsia"/>
        <w:lang w:val="en-US" w:eastAsia="zh-CN"/>
      </w:rPr>
      <w:t>阿克苏智汇人才服务</w:t>
    </w:r>
    <w:r>
      <w:rPr>
        <w:rFonts w:hint="eastAsia" w:eastAsiaTheme="minorEastAsia"/>
        <w:lang w:eastAsia="zh-CN"/>
      </w:rPr>
      <w:t>有限公司</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E964DCE"/>
    <w:multiLevelType w:val="multilevel"/>
    <w:tmpl w:val="8E964DCE"/>
    <w:lvl w:ilvl="0" w:tentative="0">
      <w:start w:val="1"/>
      <w:numFmt w:val="decimal"/>
      <w:pStyle w:val="2"/>
      <w:lvlText w:val="%1."/>
      <w:lvlJc w:val="left"/>
      <w:pPr>
        <w:ind w:left="432" w:hanging="432"/>
      </w:pPr>
      <w:rPr>
        <w:rFonts w:hint="default"/>
      </w:rPr>
    </w:lvl>
    <w:lvl w:ilvl="1" w:tentative="0">
      <w:start w:val="1"/>
      <w:numFmt w:val="decimal"/>
      <w:pStyle w:val="3"/>
      <w:lvlText w:val="%1.%2."/>
      <w:lvlJc w:val="left"/>
      <w:pPr>
        <w:ind w:left="575" w:hanging="575"/>
      </w:pPr>
      <w:rPr>
        <w:rFonts w:hint="default"/>
      </w:rPr>
    </w:lvl>
    <w:lvl w:ilvl="2" w:tentative="0">
      <w:start w:val="1"/>
      <w:numFmt w:val="decimal"/>
      <w:pStyle w:val="4"/>
      <w:lvlText w:val="%1.%2.%3."/>
      <w:lvlJc w:val="left"/>
      <w:pPr>
        <w:ind w:left="720" w:hanging="720"/>
      </w:pPr>
      <w:rPr>
        <w:rFonts w:hint="default"/>
      </w:rPr>
    </w:lvl>
    <w:lvl w:ilvl="3" w:tentative="0">
      <w:start w:val="1"/>
      <w:numFmt w:val="decimal"/>
      <w:pStyle w:val="5"/>
      <w:lvlText w:val="%1.%2.%3.%4."/>
      <w:lvlJc w:val="left"/>
      <w:pPr>
        <w:ind w:left="864" w:hanging="864"/>
      </w:pPr>
      <w:rPr>
        <w:rFonts w:hint="default"/>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1" w:hanging="1151"/>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3" w:hanging="1583"/>
      </w:pPr>
      <w:rPr>
        <w:rFonts w:hint="default"/>
      </w:rPr>
    </w:lvl>
  </w:abstractNum>
  <w:abstractNum w:abstractNumId="1">
    <w:nsid w:val="1F05015D"/>
    <w:multiLevelType w:val="singleLevel"/>
    <w:tmpl w:val="1F05015D"/>
    <w:lvl w:ilvl="0" w:tentative="0">
      <w:start w:val="1"/>
      <w:numFmt w:val="decimal"/>
      <w:lvlText w:val="%1."/>
      <w:lvlJc w:val="left"/>
      <w:pPr>
        <w:ind w:left="425" w:hanging="425"/>
      </w:pPr>
      <w:rPr>
        <w:rFonts w:hint="default"/>
      </w:rPr>
    </w:lvl>
  </w:abstractNum>
  <w:abstractNum w:abstractNumId="2">
    <w:nsid w:val="2599922A"/>
    <w:multiLevelType w:val="singleLevel"/>
    <w:tmpl w:val="2599922A"/>
    <w:lvl w:ilvl="0" w:tentative="0">
      <w:start w:val="1"/>
      <w:numFmt w:val="decimal"/>
      <w:lvlText w:val="%1."/>
      <w:lvlJc w:val="left"/>
      <w:pPr>
        <w:ind w:left="425" w:hanging="425"/>
      </w:pPr>
      <w:rPr>
        <w:rFonts w:hint="default"/>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23"/>
  <w:embedSystemFonts/>
  <w:bordersDoNotSurroundHeader w:val="0"/>
  <w:bordersDoNotSurroundFooter w:val="0"/>
  <w:doNotTrackMoves/>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0055574E"/>
    <w:rsid w:val="006B6D1F"/>
    <w:rsid w:val="0104303E"/>
    <w:rsid w:val="01E07299"/>
    <w:rsid w:val="0211124F"/>
    <w:rsid w:val="029C58B6"/>
    <w:rsid w:val="02CE3596"/>
    <w:rsid w:val="02EA4873"/>
    <w:rsid w:val="033E77E8"/>
    <w:rsid w:val="039C2F9A"/>
    <w:rsid w:val="040604A9"/>
    <w:rsid w:val="05980692"/>
    <w:rsid w:val="073D05DE"/>
    <w:rsid w:val="07660A33"/>
    <w:rsid w:val="076A133A"/>
    <w:rsid w:val="080D4B60"/>
    <w:rsid w:val="09975029"/>
    <w:rsid w:val="09D65B51"/>
    <w:rsid w:val="09F2400E"/>
    <w:rsid w:val="09FC6C3A"/>
    <w:rsid w:val="0CF12BAD"/>
    <w:rsid w:val="0F4F57A4"/>
    <w:rsid w:val="0FD115EF"/>
    <w:rsid w:val="10C85AC8"/>
    <w:rsid w:val="1193356B"/>
    <w:rsid w:val="127C6B6A"/>
    <w:rsid w:val="130628D8"/>
    <w:rsid w:val="131B2827"/>
    <w:rsid w:val="139879D4"/>
    <w:rsid w:val="13D604FC"/>
    <w:rsid w:val="14B42767"/>
    <w:rsid w:val="15CC7E09"/>
    <w:rsid w:val="15EC2259"/>
    <w:rsid w:val="16B0772A"/>
    <w:rsid w:val="170D06D9"/>
    <w:rsid w:val="17103D25"/>
    <w:rsid w:val="17710C68"/>
    <w:rsid w:val="17BE19D3"/>
    <w:rsid w:val="17DF25E3"/>
    <w:rsid w:val="18846779"/>
    <w:rsid w:val="18F07E29"/>
    <w:rsid w:val="18F465E3"/>
    <w:rsid w:val="19E020D4"/>
    <w:rsid w:val="1A9923D9"/>
    <w:rsid w:val="1BC709D8"/>
    <w:rsid w:val="1CB735C0"/>
    <w:rsid w:val="1D997E65"/>
    <w:rsid w:val="1E692834"/>
    <w:rsid w:val="1EFD1033"/>
    <w:rsid w:val="1FCB1131"/>
    <w:rsid w:val="20D91840"/>
    <w:rsid w:val="215C6FE4"/>
    <w:rsid w:val="221C5C74"/>
    <w:rsid w:val="2291647A"/>
    <w:rsid w:val="23A26E72"/>
    <w:rsid w:val="23DD436C"/>
    <w:rsid w:val="23FD59BD"/>
    <w:rsid w:val="248A355A"/>
    <w:rsid w:val="26C427F2"/>
    <w:rsid w:val="2841042E"/>
    <w:rsid w:val="2849353B"/>
    <w:rsid w:val="28982B8D"/>
    <w:rsid w:val="2908648D"/>
    <w:rsid w:val="29355450"/>
    <w:rsid w:val="294F2DD3"/>
    <w:rsid w:val="2975663E"/>
    <w:rsid w:val="2A8B6C6D"/>
    <w:rsid w:val="2B612949"/>
    <w:rsid w:val="2BF87F54"/>
    <w:rsid w:val="2D127F2F"/>
    <w:rsid w:val="2E500F2E"/>
    <w:rsid w:val="2F041F69"/>
    <w:rsid w:val="2FC11C09"/>
    <w:rsid w:val="30662EDC"/>
    <w:rsid w:val="32FB3538"/>
    <w:rsid w:val="333746BC"/>
    <w:rsid w:val="346C0F8D"/>
    <w:rsid w:val="350D601C"/>
    <w:rsid w:val="35DE67BA"/>
    <w:rsid w:val="362F3D70"/>
    <w:rsid w:val="36883480"/>
    <w:rsid w:val="36914A2B"/>
    <w:rsid w:val="3699743B"/>
    <w:rsid w:val="37490E61"/>
    <w:rsid w:val="375F2433"/>
    <w:rsid w:val="37971BCD"/>
    <w:rsid w:val="37DF17C6"/>
    <w:rsid w:val="37E666B0"/>
    <w:rsid w:val="38657F1D"/>
    <w:rsid w:val="3884161F"/>
    <w:rsid w:val="3914549F"/>
    <w:rsid w:val="3C265C15"/>
    <w:rsid w:val="3CA134EE"/>
    <w:rsid w:val="3D5F4115"/>
    <w:rsid w:val="3D714C6E"/>
    <w:rsid w:val="3E287A22"/>
    <w:rsid w:val="3E5A3954"/>
    <w:rsid w:val="3F2D2E17"/>
    <w:rsid w:val="3F873E13"/>
    <w:rsid w:val="40646D0C"/>
    <w:rsid w:val="40873B7A"/>
    <w:rsid w:val="40B11D0C"/>
    <w:rsid w:val="40E045E4"/>
    <w:rsid w:val="41DA54D8"/>
    <w:rsid w:val="41DA641A"/>
    <w:rsid w:val="426164FC"/>
    <w:rsid w:val="43223C0F"/>
    <w:rsid w:val="4368266F"/>
    <w:rsid w:val="43996CCD"/>
    <w:rsid w:val="45EE5265"/>
    <w:rsid w:val="45F60B3A"/>
    <w:rsid w:val="46BF2EEE"/>
    <w:rsid w:val="470E352E"/>
    <w:rsid w:val="472B0583"/>
    <w:rsid w:val="47BB1907"/>
    <w:rsid w:val="484F2050"/>
    <w:rsid w:val="48FA020D"/>
    <w:rsid w:val="49B33C44"/>
    <w:rsid w:val="49CC1B61"/>
    <w:rsid w:val="4AD44857"/>
    <w:rsid w:val="4BC55D8A"/>
    <w:rsid w:val="4BFB76A0"/>
    <w:rsid w:val="4D1711C1"/>
    <w:rsid w:val="4D3A32CE"/>
    <w:rsid w:val="4E0B149B"/>
    <w:rsid w:val="4F6F1974"/>
    <w:rsid w:val="503F29AA"/>
    <w:rsid w:val="50BE0A71"/>
    <w:rsid w:val="511C5981"/>
    <w:rsid w:val="51F0261E"/>
    <w:rsid w:val="52081BED"/>
    <w:rsid w:val="5262758A"/>
    <w:rsid w:val="5486504B"/>
    <w:rsid w:val="54CB7E3C"/>
    <w:rsid w:val="554C0043"/>
    <w:rsid w:val="5632548A"/>
    <w:rsid w:val="58675193"/>
    <w:rsid w:val="5A6610C0"/>
    <w:rsid w:val="5B0B0058"/>
    <w:rsid w:val="5B85605C"/>
    <w:rsid w:val="5CB12E81"/>
    <w:rsid w:val="5D0D6A04"/>
    <w:rsid w:val="5D2D2508"/>
    <w:rsid w:val="5D2E6280"/>
    <w:rsid w:val="5D4D347E"/>
    <w:rsid w:val="5D6677C8"/>
    <w:rsid w:val="5E6A32E8"/>
    <w:rsid w:val="5EF552A7"/>
    <w:rsid w:val="5EFB71CC"/>
    <w:rsid w:val="5F767659"/>
    <w:rsid w:val="5F7F1015"/>
    <w:rsid w:val="601B67AB"/>
    <w:rsid w:val="60AA3E6F"/>
    <w:rsid w:val="613E7799"/>
    <w:rsid w:val="619C19E8"/>
    <w:rsid w:val="61A3723C"/>
    <w:rsid w:val="6200643D"/>
    <w:rsid w:val="62312EF8"/>
    <w:rsid w:val="62CD2097"/>
    <w:rsid w:val="640721AA"/>
    <w:rsid w:val="652A5B5F"/>
    <w:rsid w:val="657F3B1C"/>
    <w:rsid w:val="659C092C"/>
    <w:rsid w:val="65C43C25"/>
    <w:rsid w:val="65D26342"/>
    <w:rsid w:val="66BB0B84"/>
    <w:rsid w:val="66D63C10"/>
    <w:rsid w:val="678C0773"/>
    <w:rsid w:val="68804644"/>
    <w:rsid w:val="698F3ABF"/>
    <w:rsid w:val="69DB53BE"/>
    <w:rsid w:val="6A611A43"/>
    <w:rsid w:val="6BAD2A66"/>
    <w:rsid w:val="6BDE0156"/>
    <w:rsid w:val="6BF30DC0"/>
    <w:rsid w:val="6CF94F31"/>
    <w:rsid w:val="6D834437"/>
    <w:rsid w:val="6DB46CBB"/>
    <w:rsid w:val="6E6623CD"/>
    <w:rsid w:val="6F2D6397"/>
    <w:rsid w:val="6F887A72"/>
    <w:rsid w:val="70142C24"/>
    <w:rsid w:val="70E47042"/>
    <w:rsid w:val="711772FF"/>
    <w:rsid w:val="713003C1"/>
    <w:rsid w:val="7141437C"/>
    <w:rsid w:val="72536115"/>
    <w:rsid w:val="730B69EF"/>
    <w:rsid w:val="73593BFF"/>
    <w:rsid w:val="73644352"/>
    <w:rsid w:val="73C7661F"/>
    <w:rsid w:val="749E175B"/>
    <w:rsid w:val="76960176"/>
    <w:rsid w:val="76F6721A"/>
    <w:rsid w:val="776C1A27"/>
    <w:rsid w:val="778C592B"/>
    <w:rsid w:val="7799105C"/>
    <w:rsid w:val="77F27C02"/>
    <w:rsid w:val="783E1615"/>
    <w:rsid w:val="78656BA2"/>
    <w:rsid w:val="78CA2EA9"/>
    <w:rsid w:val="78D1021F"/>
    <w:rsid w:val="7962698E"/>
    <w:rsid w:val="7A1940E8"/>
    <w:rsid w:val="7A2F7467"/>
    <w:rsid w:val="7B4E6013"/>
    <w:rsid w:val="7B5C70B9"/>
    <w:rsid w:val="7BDD2EF3"/>
    <w:rsid w:val="7C066719"/>
    <w:rsid w:val="7C434C07"/>
    <w:rsid w:val="7D0C7F34"/>
    <w:rsid w:val="7DA168CE"/>
    <w:rsid w:val="7DBB459D"/>
    <w:rsid w:val="7DF905A7"/>
    <w:rsid w:val="7E086FD3"/>
    <w:rsid w:val="7F0A2251"/>
    <w:rsid w:val="7F8244DD"/>
    <w:rsid w:val="7F9B10FB"/>
    <w:rsid w:val="7FE7774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spacing w:line="360" w:lineRule="auto"/>
      <w:jc w:val="left"/>
      <w:textAlignment w:val="baseline"/>
    </w:pPr>
    <w:rPr>
      <w:rFonts w:ascii="Arial" w:hAnsi="Arial" w:eastAsia="宋体" w:cs="Arial"/>
      <w:snapToGrid w:val="0"/>
      <w:color w:val="000000"/>
      <w:kern w:val="0"/>
      <w:sz w:val="21"/>
      <w:szCs w:val="21"/>
      <w:lang w:val="en-US" w:eastAsia="en-US" w:bidi="ar-SA"/>
    </w:rPr>
  </w:style>
  <w:style w:type="paragraph" w:styleId="2">
    <w:name w:val="heading 1"/>
    <w:basedOn w:val="1"/>
    <w:next w:val="1"/>
    <w:qFormat/>
    <w:uiPriority w:val="0"/>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3">
    <w:name w:val="heading 2"/>
    <w:basedOn w:val="1"/>
    <w:next w:val="1"/>
    <w:unhideWhenUsed/>
    <w:qFormat/>
    <w:uiPriority w:val="0"/>
    <w:pPr>
      <w:keepNext/>
      <w:keepLines/>
      <w:numPr>
        <w:ilvl w:val="1"/>
        <w:numId w:val="1"/>
      </w:numPr>
      <w:spacing w:before="260" w:beforeLines="0" w:beforeAutospacing="0" w:after="260" w:afterLines="0" w:afterAutospacing="0" w:line="413" w:lineRule="auto"/>
      <w:ind w:left="575" w:hanging="575"/>
      <w:outlineLvl w:val="1"/>
    </w:pPr>
    <w:rPr>
      <w:rFonts w:ascii="Arial" w:hAnsi="Arial" w:eastAsia="黑体"/>
      <w:b/>
      <w:sz w:val="32"/>
    </w:rPr>
  </w:style>
  <w:style w:type="paragraph" w:styleId="4">
    <w:name w:val="heading 3"/>
    <w:basedOn w:val="1"/>
    <w:next w:val="1"/>
    <w:semiHidden/>
    <w:unhideWhenUsed/>
    <w:qFormat/>
    <w:uiPriority w:val="0"/>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5">
    <w:name w:val="heading 4"/>
    <w:basedOn w:val="1"/>
    <w:next w:val="1"/>
    <w:unhideWhenUsed/>
    <w:qFormat/>
    <w:uiPriority w:val="0"/>
    <w:pPr>
      <w:keepNext/>
      <w:keepLines/>
      <w:numPr>
        <w:ilvl w:val="3"/>
        <w:numId w:val="1"/>
      </w:numPr>
      <w:spacing w:before="280" w:beforeLines="0" w:beforeAutospacing="0" w:after="290" w:afterLines="0" w:afterAutospacing="0" w:line="372" w:lineRule="auto"/>
      <w:ind w:left="864" w:hanging="864"/>
      <w:outlineLvl w:val="3"/>
    </w:pPr>
    <w:rPr>
      <w:rFonts w:ascii="Arial" w:hAnsi="Arial" w:eastAsia="黑体"/>
      <w:b/>
      <w:sz w:val="28"/>
    </w:rPr>
  </w:style>
  <w:style w:type="paragraph" w:styleId="6">
    <w:name w:val="heading 5"/>
    <w:basedOn w:val="1"/>
    <w:next w:val="1"/>
    <w:semiHidden/>
    <w:unhideWhenUsed/>
    <w:qFormat/>
    <w:uiPriority w:val="0"/>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7">
    <w:name w:val="heading 6"/>
    <w:basedOn w:val="1"/>
    <w:next w:val="1"/>
    <w:semiHidden/>
    <w:unhideWhenUsed/>
    <w:qFormat/>
    <w:uiPriority w:val="0"/>
    <w:pPr>
      <w:keepNext/>
      <w:keepLines/>
      <w:numPr>
        <w:ilvl w:val="5"/>
        <w:numId w:val="1"/>
      </w:numPr>
      <w:spacing w:before="240" w:beforeLines="0" w:beforeAutospacing="0" w:after="64" w:afterLines="0" w:afterAutospacing="0" w:line="317" w:lineRule="auto"/>
      <w:ind w:left="1151" w:hanging="1151"/>
      <w:outlineLvl w:val="5"/>
    </w:pPr>
    <w:rPr>
      <w:rFonts w:ascii="Arial" w:hAnsi="Arial" w:eastAsia="黑体"/>
      <w:b/>
      <w:sz w:val="24"/>
    </w:rPr>
  </w:style>
  <w:style w:type="paragraph" w:styleId="8">
    <w:name w:val="heading 7"/>
    <w:basedOn w:val="1"/>
    <w:next w:val="1"/>
    <w:semiHidden/>
    <w:unhideWhenUsed/>
    <w:qFormat/>
    <w:uiPriority w:val="0"/>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9">
    <w:name w:val="heading 8"/>
    <w:basedOn w:val="1"/>
    <w:next w:val="1"/>
    <w:semiHidden/>
    <w:unhideWhenUsed/>
    <w:qFormat/>
    <w:uiPriority w:val="0"/>
    <w:pPr>
      <w:keepNext/>
      <w:keepLines/>
      <w:numPr>
        <w:ilvl w:val="7"/>
        <w:numId w:val="1"/>
      </w:numPr>
      <w:spacing w:before="240" w:beforeLines="0" w:beforeAutospacing="0" w:after="64" w:afterLines="0" w:afterAutospacing="0" w:line="317" w:lineRule="auto"/>
      <w:ind w:left="1440" w:hanging="1440"/>
      <w:outlineLvl w:val="7"/>
    </w:pPr>
    <w:rPr>
      <w:rFonts w:ascii="Arial" w:hAnsi="Arial" w:eastAsia="黑体"/>
      <w:sz w:val="24"/>
    </w:rPr>
  </w:style>
  <w:style w:type="paragraph" w:styleId="10">
    <w:name w:val="heading 9"/>
    <w:basedOn w:val="1"/>
    <w:next w:val="1"/>
    <w:semiHidden/>
    <w:unhideWhenUsed/>
    <w:qFormat/>
    <w:uiPriority w:val="0"/>
    <w:pPr>
      <w:keepNext/>
      <w:keepLines/>
      <w:numPr>
        <w:ilvl w:val="8"/>
        <w:numId w:val="1"/>
      </w:numPr>
      <w:spacing w:before="240" w:beforeLines="0" w:beforeAutospacing="0" w:after="64" w:afterLines="0" w:afterAutospacing="0" w:line="317" w:lineRule="auto"/>
      <w:ind w:left="1583" w:hanging="1583"/>
      <w:outlineLvl w:val="8"/>
    </w:pPr>
    <w:rPr>
      <w:rFonts w:ascii="Arial" w:hAnsi="Arial" w:eastAsia="黑体"/>
      <w:sz w:val="21"/>
    </w:rPr>
  </w:style>
  <w:style w:type="character" w:default="1" w:styleId="22">
    <w:name w:val="Default Paragraph Font"/>
    <w:semiHidden/>
    <w:qFormat/>
    <w:uiPriority w:val="0"/>
  </w:style>
  <w:style w:type="table" w:default="1" w:styleId="20">
    <w:name w:val="Normal Table"/>
    <w:semiHidden/>
    <w:qFormat/>
    <w:uiPriority w:val="0"/>
    <w:tblPr>
      <w:tblCellMar>
        <w:top w:w="0" w:type="dxa"/>
        <w:left w:w="108" w:type="dxa"/>
        <w:bottom w:w="0" w:type="dxa"/>
        <w:right w:w="108" w:type="dxa"/>
      </w:tblCellMar>
    </w:tblPr>
  </w:style>
  <w:style w:type="paragraph" w:styleId="11">
    <w:name w:val="annotation text"/>
    <w:basedOn w:val="1"/>
    <w:qFormat/>
    <w:uiPriority w:val="0"/>
    <w:pPr>
      <w:jc w:val="left"/>
    </w:pPr>
  </w:style>
  <w:style w:type="paragraph" w:styleId="12">
    <w:name w:val="Body Text"/>
    <w:basedOn w:val="1"/>
    <w:semiHidden/>
    <w:qFormat/>
    <w:uiPriority w:val="0"/>
    <w:rPr>
      <w:rFonts w:ascii="Arial" w:hAnsi="Arial" w:eastAsia="Arial" w:cs="Arial"/>
      <w:sz w:val="21"/>
      <w:szCs w:val="21"/>
      <w:lang w:val="en-US" w:eastAsia="en-US" w:bidi="ar-SA"/>
    </w:rPr>
  </w:style>
  <w:style w:type="paragraph" w:styleId="13">
    <w:name w:val="toc 3"/>
    <w:basedOn w:val="1"/>
    <w:next w:val="1"/>
    <w:qFormat/>
    <w:uiPriority w:val="0"/>
    <w:pPr>
      <w:ind w:left="840" w:leftChars="400"/>
    </w:pPr>
  </w:style>
  <w:style w:type="paragraph" w:styleId="14">
    <w:name w:val="footer"/>
    <w:basedOn w:val="1"/>
    <w:qFormat/>
    <w:uiPriority w:val="0"/>
    <w:pPr>
      <w:tabs>
        <w:tab w:val="center" w:pos="4153"/>
        <w:tab w:val="right" w:pos="8306"/>
      </w:tabs>
      <w:snapToGrid w:val="0"/>
      <w:jc w:val="left"/>
    </w:pPr>
    <w:rPr>
      <w:sz w:val="18"/>
    </w:rPr>
  </w:style>
  <w:style w:type="paragraph" w:styleId="15">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16">
    <w:name w:val="toc 1"/>
    <w:basedOn w:val="1"/>
    <w:next w:val="1"/>
    <w:qFormat/>
    <w:uiPriority w:val="0"/>
    <w:rPr>
      <w:rFonts w:ascii="Arial" w:hAnsi="Arial" w:eastAsia="Microsoft JhengHei"/>
      <w:sz w:val="24"/>
    </w:rPr>
  </w:style>
  <w:style w:type="paragraph" w:styleId="17">
    <w:name w:val="toc 2"/>
    <w:basedOn w:val="1"/>
    <w:next w:val="1"/>
    <w:qFormat/>
    <w:uiPriority w:val="0"/>
    <w:pPr>
      <w:ind w:left="420" w:leftChars="200"/>
    </w:pPr>
  </w:style>
  <w:style w:type="paragraph" w:styleId="18">
    <w:name w:val="Normal (Web)"/>
    <w:basedOn w:val="1"/>
    <w:qFormat/>
    <w:uiPriority w:val="0"/>
    <w:rPr>
      <w:sz w:val="24"/>
    </w:rPr>
  </w:style>
  <w:style w:type="paragraph" w:styleId="19">
    <w:name w:val="Title"/>
    <w:basedOn w:val="1"/>
    <w:qFormat/>
    <w:uiPriority w:val="0"/>
    <w:pPr>
      <w:spacing w:before="240" w:beforeLines="0" w:beforeAutospacing="0" w:after="60" w:afterLines="0" w:afterAutospacing="0"/>
      <w:jc w:val="center"/>
      <w:outlineLvl w:val="0"/>
    </w:pPr>
    <w:rPr>
      <w:rFonts w:ascii="Arial" w:hAnsi="Arial"/>
      <w:b/>
      <w:sz w:val="32"/>
    </w:rPr>
  </w:style>
  <w:style w:type="table" w:styleId="21">
    <w:name w:val="Table Grid"/>
    <w:basedOn w:val="20"/>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3">
    <w:name w:val="Strong"/>
    <w:basedOn w:val="22"/>
    <w:qFormat/>
    <w:uiPriority w:val="0"/>
    <w:rPr>
      <w:b/>
    </w:rPr>
  </w:style>
  <w:style w:type="paragraph" w:customStyle="1" w:styleId="24">
    <w:name w:val="柴_公司名"/>
    <w:basedOn w:val="19"/>
    <w:qFormat/>
    <w:uiPriority w:val="0"/>
    <w:pPr>
      <w:spacing w:after="600" w:afterLines="600"/>
    </w:pPr>
    <w:rPr>
      <w:rFonts w:hint="eastAsia" w:ascii="宋体" w:hAnsi="宋体" w:eastAsia="宋体" w:cs="宋体"/>
      <w:bCs/>
      <w:spacing w:val="-6"/>
      <w:sz w:val="52"/>
      <w:szCs w:val="52"/>
    </w:rPr>
  </w:style>
  <w:style w:type="paragraph" w:customStyle="1" w:styleId="25">
    <w:name w:val="柴_文档名"/>
    <w:basedOn w:val="19"/>
    <w:qFormat/>
    <w:uiPriority w:val="0"/>
    <w:pPr>
      <w:spacing w:after="900" w:afterLines="900"/>
    </w:pPr>
    <w:rPr>
      <w:rFonts w:ascii="黑体" w:hAnsi="黑体" w:eastAsia="黑体" w:cs="黑体"/>
      <w:bCs/>
      <w:spacing w:val="-7"/>
      <w:sz w:val="52"/>
      <w:szCs w:val="52"/>
    </w:rPr>
  </w:style>
  <w:style w:type="table" w:customStyle="1" w:styleId="26">
    <w:name w:val="Table Normal_0"/>
    <w:semiHidden/>
    <w:unhideWhenUsed/>
    <w:qFormat/>
    <w:uiPriority w:val="0"/>
    <w:tblPr>
      <w:tblCellMar>
        <w:top w:w="0" w:type="dxa"/>
        <w:left w:w="0" w:type="dxa"/>
        <w:bottom w:w="0" w:type="dxa"/>
        <w:right w:w="0" w:type="dxa"/>
      </w:tblCellMar>
    </w:tblPr>
  </w:style>
  <w:style w:type="paragraph" w:customStyle="1" w:styleId="27">
    <w:name w:val="Table Text"/>
    <w:basedOn w:val="1"/>
    <w:semiHidden/>
    <w:qFormat/>
    <w:uiPriority w:val="0"/>
    <w:rPr>
      <w:rFonts w:ascii="宋体" w:hAnsi="宋体" w:eastAsia="宋体" w:cs="宋体"/>
      <w:sz w:val="21"/>
      <w:szCs w:val="21"/>
      <w:lang w:val="en-US" w:eastAsia="en-US" w:bidi="ar-SA"/>
    </w:rPr>
  </w:style>
  <w:style w:type="paragraph" w:customStyle="1" w:styleId="28">
    <w:name w:val="柴_标题1"/>
    <w:basedOn w:val="2"/>
    <w:next w:val="29"/>
    <w:link w:val="38"/>
    <w:qFormat/>
    <w:uiPriority w:val="0"/>
    <w:pPr>
      <w:spacing w:before="100" w:after="90" w:line="360" w:lineRule="auto"/>
    </w:pPr>
    <w:rPr>
      <w:rFonts w:ascii="Arial" w:hAnsi="Arial" w:eastAsia="宋体"/>
      <w:sz w:val="32"/>
    </w:rPr>
  </w:style>
  <w:style w:type="paragraph" w:customStyle="1" w:styleId="29">
    <w:name w:val="柴_正文"/>
    <w:basedOn w:val="12"/>
    <w:link w:val="42"/>
    <w:qFormat/>
    <w:uiPriority w:val="0"/>
    <w:pPr>
      <w:spacing w:line="360" w:lineRule="auto"/>
      <w:ind w:firstLine="470" w:firstLineChars="200"/>
    </w:pPr>
    <w:rPr>
      <w:rFonts w:ascii="Arial" w:hAnsi="Arial" w:eastAsia="宋体"/>
      <w:sz w:val="24"/>
      <w:lang w:eastAsia="zh-CN"/>
    </w:rPr>
  </w:style>
  <w:style w:type="paragraph" w:customStyle="1" w:styleId="30">
    <w:name w:val="柴_标题2"/>
    <w:basedOn w:val="3"/>
    <w:next w:val="29"/>
    <w:qFormat/>
    <w:uiPriority w:val="0"/>
    <w:pPr>
      <w:spacing w:line="360" w:lineRule="auto"/>
    </w:pPr>
    <w:rPr>
      <w:rFonts w:ascii="Arial" w:hAnsi="Arial" w:eastAsia="宋体"/>
      <w:sz w:val="28"/>
    </w:rPr>
  </w:style>
  <w:style w:type="paragraph" w:customStyle="1" w:styleId="31">
    <w:name w:val="柴_标题3"/>
    <w:basedOn w:val="4"/>
    <w:next w:val="29"/>
    <w:qFormat/>
    <w:uiPriority w:val="0"/>
    <w:pPr>
      <w:spacing w:line="360" w:lineRule="auto"/>
      <w:ind w:left="0" w:firstLine="472" w:firstLineChars="200"/>
    </w:pPr>
    <w:rPr>
      <w:rFonts w:ascii="宋体" w:hAnsi="宋体" w:eastAsia="宋体" w:cs="宋体"/>
      <w:spacing w:val="-2"/>
      <w:sz w:val="24"/>
      <w:szCs w:val="24"/>
    </w:rPr>
  </w:style>
  <w:style w:type="paragraph" w:customStyle="1" w:styleId="32">
    <w:name w:val="柴_目录"/>
    <w:basedOn w:val="1"/>
    <w:next w:val="12"/>
    <w:qFormat/>
    <w:uiPriority w:val="0"/>
    <w:pPr>
      <w:tabs>
        <w:tab w:val="right" w:leader="dot" w:pos="8442"/>
      </w:tabs>
      <w:ind w:left="0" w:leftChars="0"/>
    </w:pPr>
    <w:rPr>
      <w:rFonts w:ascii="Arial" w:hAnsi="Arial" w:eastAsia="Microsoft JhengHei"/>
      <w:sz w:val="24"/>
    </w:rPr>
  </w:style>
  <w:style w:type="paragraph" w:customStyle="1" w:styleId="33">
    <w:name w:val="WPSOffice手动目录 1"/>
    <w:qFormat/>
    <w:uiPriority w:val="0"/>
    <w:pPr>
      <w:ind w:leftChars="0"/>
    </w:pPr>
    <w:rPr>
      <w:rFonts w:ascii="Times New Roman" w:hAnsi="Times New Roman" w:eastAsia="宋体" w:cs="Times New Roman"/>
      <w:sz w:val="20"/>
      <w:szCs w:val="20"/>
    </w:rPr>
  </w:style>
  <w:style w:type="paragraph" w:customStyle="1" w:styleId="34">
    <w:name w:val="WPSOffice手动目录 2"/>
    <w:qFormat/>
    <w:uiPriority w:val="0"/>
    <w:pPr>
      <w:ind w:leftChars="200"/>
    </w:pPr>
    <w:rPr>
      <w:rFonts w:ascii="Times New Roman" w:hAnsi="Times New Roman" w:eastAsia="宋体" w:cs="Times New Roman"/>
      <w:sz w:val="20"/>
      <w:szCs w:val="20"/>
    </w:rPr>
  </w:style>
  <w:style w:type="paragraph" w:customStyle="1" w:styleId="35">
    <w:name w:val="WPSOffice手动目录 3"/>
    <w:qFormat/>
    <w:uiPriority w:val="0"/>
    <w:pPr>
      <w:ind w:leftChars="400"/>
    </w:pPr>
    <w:rPr>
      <w:rFonts w:ascii="Times New Roman" w:hAnsi="Times New Roman" w:eastAsia="宋体" w:cs="Times New Roman"/>
      <w:sz w:val="20"/>
      <w:szCs w:val="20"/>
    </w:rPr>
  </w:style>
  <w:style w:type="paragraph" w:customStyle="1" w:styleId="36">
    <w:name w:val="Compact"/>
    <w:basedOn w:val="12"/>
    <w:qFormat/>
    <w:uiPriority w:val="0"/>
    <w:pPr>
      <w:spacing w:before="36" w:after="36"/>
    </w:pPr>
  </w:style>
  <w:style w:type="table" w:customStyle="1" w:styleId="37">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character" w:customStyle="1" w:styleId="38">
    <w:name w:val="柴_标题1 Char"/>
    <w:link w:val="28"/>
    <w:qFormat/>
    <w:uiPriority w:val="0"/>
    <w:rPr>
      <w:rFonts w:ascii="Arial" w:hAnsi="Arial" w:eastAsia="宋体"/>
      <w:sz w:val="32"/>
    </w:rPr>
  </w:style>
  <w:style w:type="table" w:customStyle="1" w:styleId="39">
    <w:name w:val="Table Normal"/>
    <w:semiHidden/>
    <w:unhideWhenUsed/>
    <w:qFormat/>
    <w:uiPriority w:val="0"/>
    <w:tblPr>
      <w:tblCellMar>
        <w:top w:w="0" w:type="dxa"/>
        <w:left w:w="0" w:type="dxa"/>
        <w:bottom w:w="0" w:type="dxa"/>
        <w:right w:w="0" w:type="dxa"/>
      </w:tblCellMar>
    </w:tblPr>
  </w:style>
  <w:style w:type="paragraph" w:customStyle="1" w:styleId="40">
    <w:name w:val="柴_正文_无缩进"/>
    <w:basedOn w:val="1"/>
    <w:qFormat/>
    <w:uiPriority w:val="0"/>
    <w:pPr>
      <w:ind w:firstLine="0" w:firstLineChars="0"/>
    </w:pPr>
    <w:rPr>
      <w:rFonts w:ascii="Arial" w:hAnsi="Arial"/>
      <w:sz w:val="24"/>
      <w:lang w:eastAsia="zh-CN"/>
    </w:rPr>
  </w:style>
  <w:style w:type="paragraph" w:customStyle="1" w:styleId="41">
    <w:name w:val="柴_标题4"/>
    <w:basedOn w:val="5"/>
    <w:next w:val="1"/>
    <w:qFormat/>
    <w:uiPriority w:val="0"/>
    <w:pPr>
      <w:widowControl w:val="0"/>
      <w:spacing w:before="160" w:line="360" w:lineRule="auto"/>
      <w:ind w:left="981" w:leftChars="300" w:hanging="862"/>
    </w:pPr>
    <w:rPr>
      <w:rFonts w:hint="eastAsia" w:ascii="Calibri" w:hAnsi="Calibri" w:eastAsia="宋体" w:cs="宋体"/>
      <w:sz w:val="24"/>
      <w:szCs w:val="24"/>
      <w:lang w:eastAsia="zh-CN" w:bidi="zh-CN"/>
    </w:rPr>
  </w:style>
  <w:style w:type="character" w:customStyle="1" w:styleId="42">
    <w:name w:val="柴_正文 Char"/>
    <w:link w:val="29"/>
    <w:qFormat/>
    <w:uiPriority w:val="0"/>
    <w:rPr>
      <w:rFonts w:ascii="Arial" w:hAnsi="Arial" w:eastAsia="宋体"/>
      <w:sz w:val="24"/>
      <w:lang w:eastAsia="zh-CN"/>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2.png"/><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1767</Words>
  <Characters>1899</Characters>
  <Lines>0</Lines>
  <Paragraphs>0</Paragraphs>
  <TotalTime>0</TotalTime>
  <ScaleCrop>false</ScaleCrop>
  <LinksUpToDate>false</LinksUpToDate>
  <CharactersWithSpaces>1979</CharactersWithSpaces>
  <Application>WPS Office_12.1.0.23125_F1E327BC-269C-435d-A152-05C5408002CA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2025-09-03T14:43:00Z</dcterms:created>
  <dc:creator>郝宇</dc:creator>
  <cp:lastModifiedBy>郝宇</cp:lastModifiedBy>
  <dcterms:modified xsi:type="dcterms:W3CDTF">2025-10-26T19:56:21Z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BA828AC39D334D9FACCDF2EC6AEF6D30_13</vt:lpwstr>
  </property>
  <property fmtid="{D5CDD505-2E9C-101B-9397-08002B2CF9AE}" pid="3" name="KSOProductBuildVer">
    <vt:lpwstr>2052-12.1.0.23125</vt:lpwstr>
  </property>
  <property fmtid="{D5CDD505-2E9C-101B-9397-08002B2CF9AE}" pid="4" name="KSOTemplateDocerSaveRecord">
    <vt:lpwstr>eyJoZGlkIjoiMDY5NmFjMmM4ZTljMGJiZDAxN2JmYTc0NGI0NmFiNDgiLCJ1c2VySWQiOiIxMDc1MzgyOSJ9</vt:lpwstr>
  </property>
</Properties>
</file>