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A6FA7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1" w:beforeLines="1000"/>
        <w:textAlignment w:val="baseline"/>
      </w:pPr>
      <w:bookmarkStart w:id="0" w:name="_Toc260"/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7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阿克苏智汇人才服务有限</w:t>
      </w:r>
      <w:r>
        <w:t>公司</w:t>
      </w:r>
      <w:bookmarkEnd w:id="0"/>
    </w:p>
    <w:p w14:paraId="1CA859A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5" w:afterLines="200"/>
        <w:textAlignment w:val="baseline"/>
        <w:rPr>
          <w:rFonts w:hint="eastAsia"/>
          <w:lang w:val="en-US" w:eastAsia="zh-CN"/>
        </w:rPr>
      </w:pPr>
      <w:bookmarkStart w:id="1" w:name="_Toc27520"/>
      <w:r>
        <w:rPr>
          <w:rFonts w:hint="eastAsia"/>
          <w:lang w:val="en-US" w:eastAsia="zh-CN"/>
        </w:rPr>
        <w:t>最终软件库管理制度</w:t>
      </w:r>
      <w:bookmarkEnd w:id="1"/>
    </w:p>
    <w:p w14:paraId="5C99E7F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5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ZHRC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2161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47F44E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527A68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5E046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740D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fitText w:val="840" w:id="1984234543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fitText w:val="840" w:id="1984234543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6398C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40129E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A9275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fitText w:val="840" w:id="722747876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fitText w:val="840" w:id="722747876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鸿</w:t>
            </w:r>
          </w:p>
        </w:tc>
        <w:tc>
          <w:tcPr>
            <w:tcW w:w="2708" w:type="dxa"/>
          </w:tcPr>
          <w:p w14:paraId="370F75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</w:tbl>
    <w:p w14:paraId="1DEAC45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615357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544A0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FB3B2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7806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D1CA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C6967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31C0F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EE12D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10AEB2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292F3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43AD95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鸿</w:t>
            </w:r>
          </w:p>
        </w:tc>
      </w:tr>
      <w:tr w14:paraId="6E209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5F4A4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14662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B88D56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F1492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5B855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A84474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8C703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970AE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C73CE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F7C35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50A30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7969F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4D59C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67762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8E27D4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6A6F98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ABEBB5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阿克苏智汇人才服务有限</w:t>
          </w:r>
          <w:r>
            <w:t>公司</w:t>
          </w:r>
          <w:r>
            <w:tab/>
          </w:r>
          <w:r>
            <w:fldChar w:fldCharType="begin"/>
          </w:r>
          <w:r>
            <w:instrText xml:space="preserve"> PAGEREF _Toc260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E182B2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_Toc27520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2C915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_Toc1824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9FBFB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_Toc13369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BA500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_Toc14707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E4BBA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_Toc7905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2DE69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_Toc32565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7E0AE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_Toc7310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DE403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_Toc30963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6B10D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_Toc14370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59700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_Toc26732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EBAF0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_Toc3387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D5517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_Toc16438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60C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72DD7F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6869B1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1824"/>
      <w:r>
        <w:rPr>
          <w:rFonts w:hint="eastAsia"/>
          <w:lang w:val="en-US" w:eastAsia="zh-CN"/>
        </w:rPr>
        <w:t>总则</w:t>
      </w:r>
      <w:bookmarkEnd w:id="2"/>
    </w:p>
    <w:p w14:paraId="2939A15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13369"/>
      <w:r>
        <w:rPr>
          <w:rFonts w:hint="eastAsia"/>
          <w:lang w:val="en-US" w:eastAsia="zh-CN"/>
        </w:rPr>
        <w:t>目的</w:t>
      </w:r>
      <w:bookmarkEnd w:id="3"/>
    </w:p>
    <w:p w14:paraId="3778E81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为规范公司运维服务所需软件资产的获取、存储、发布、使用及退役全过程，确保软件来源的合规性、版本的受控性及使用安全性，提高软件复用率与运维效率，降低软件许可与安全风险，特制定本制度。</w:t>
      </w:r>
    </w:p>
    <w:p w14:paraId="74FEE6B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4707"/>
      <w:r>
        <w:rPr>
          <w:rFonts w:hint="eastAsia"/>
          <w:lang w:val="en-US" w:eastAsia="zh-CN"/>
        </w:rPr>
        <w:t>适用范围</w:t>
      </w:r>
      <w:bookmarkEnd w:id="4"/>
    </w:p>
    <w:p w14:paraId="34E3A15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本制度适用于公司运维服务活动中所使用的所有软件，包括系统软件、支撑软件、应用软件及相关补丁与插件，涉及运维部、研发部、质量部、人力部及采购部。</w:t>
      </w:r>
    </w:p>
    <w:p w14:paraId="1D3A738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7905"/>
      <w:r>
        <w:rPr>
          <w:rFonts w:hint="eastAsia"/>
          <w:lang w:val="en-US" w:eastAsia="zh-CN"/>
        </w:rPr>
        <w:t>原则</w:t>
      </w:r>
      <w:bookmarkEnd w:id="5"/>
    </w:p>
    <w:p w14:paraId="361E1153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集中管控原则：所有运维软件必须纳入统一的软件库进行集中管理，禁止私自引入和使用。</w:t>
      </w:r>
    </w:p>
    <w:p w14:paraId="3AEB917C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合规安全原则：软件的引入必须经过严格的合规与安全评估，确保不侵犯知识产权且无已知高危漏洞。</w:t>
      </w:r>
    </w:p>
    <w:p w14:paraId="1D86D8D8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版本唯一原则：在同一环境下，对任一软件只允许一个受控版本在库内生效，避免版本混乱。</w:t>
      </w:r>
    </w:p>
    <w:p w14:paraId="2FAA9738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生命周期原则：对软件从事前评估、事中控制到事后归档实施全生命周期管理。</w:t>
      </w:r>
    </w:p>
    <w:p w14:paraId="6FCDC5E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2565"/>
      <w:r>
        <w:rPr>
          <w:rFonts w:hint="eastAsia"/>
          <w:lang w:val="en-US" w:eastAsia="zh-CN"/>
        </w:rPr>
        <w:t>岗位职责</w:t>
      </w:r>
      <w:bookmarkEnd w:id="6"/>
    </w:p>
    <w:p w14:paraId="6650D5E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</w:t>
      </w:r>
    </w:p>
    <w:p w14:paraId="65EB1BF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作为软件的主要使用者和库管理责任部门，负责提报软件需求、执行软件部署、进行日常维护，并承担软件库的日常管理操作。</w:t>
      </w:r>
    </w:p>
    <w:p w14:paraId="1EB448E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</w:t>
      </w:r>
    </w:p>
    <w:p w14:paraId="46A0DB5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负责商业软件的采购流程，确保采购活动符合公司规定及软件许可协议。</w:t>
      </w:r>
    </w:p>
    <w:p w14:paraId="3996E62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</w:t>
      </w:r>
    </w:p>
    <w:p w14:paraId="347A9BC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负责监督软件引入的技术评估与测试流程，并定期审计软件库的合规性与管理规范性。</w:t>
      </w:r>
    </w:p>
    <w:p w14:paraId="389A7BA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</w:t>
      </w:r>
    </w:p>
    <w:p w14:paraId="4F6E18A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负责对需要二次开发或深度集成的软件提供技术评估支持。</w:t>
      </w:r>
    </w:p>
    <w:p w14:paraId="1A017FD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</w:t>
      </w:r>
    </w:p>
    <w:p w14:paraId="4E445F2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负责组织相关人员的软件管理制度与规范培训。</w:t>
      </w:r>
    </w:p>
    <w:p w14:paraId="744EE4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7310"/>
      <w:r>
        <w:rPr>
          <w:rFonts w:hint="eastAsia"/>
          <w:lang w:val="en-US" w:eastAsia="zh-CN"/>
        </w:rPr>
        <w:t>引用依据</w:t>
      </w:r>
      <w:bookmarkEnd w:id="7"/>
    </w:p>
    <w:p w14:paraId="38F4D99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本制度的制定遵循并引用以下国家标准与行业规范：</w:t>
      </w:r>
    </w:p>
    <w:p w14:paraId="1729B52A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370B7BA8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0E62F611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66045787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3078E5D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8" w:name="_Toc30963"/>
      <w:r>
        <w:rPr>
          <w:rFonts w:hint="eastAsia"/>
          <w:lang w:val="en-US" w:eastAsia="zh-CN"/>
        </w:rPr>
        <w:t>定义与术语</w:t>
      </w:r>
      <w:bookmarkEnd w:id="8"/>
    </w:p>
    <w:p w14:paraId="3B71CB98">
      <w:pPr>
        <w:pStyle w:val="30"/>
        <w:bidi w:val="0"/>
        <w:rPr>
          <w:rFonts w:hint="eastAsia"/>
        </w:rPr>
      </w:pPr>
      <w:r>
        <w:rPr>
          <w:rFonts w:hint="eastAsia"/>
        </w:rPr>
        <w:t>软件库</w:t>
      </w:r>
    </w:p>
    <w:p w14:paraId="453D8E60">
      <w:pPr>
        <w:pStyle w:val="29"/>
        <w:rPr>
          <w:rFonts w:hint="eastAsia"/>
        </w:rPr>
      </w:pPr>
      <w:r>
        <w:rPr>
          <w:rFonts w:hint="eastAsia"/>
        </w:rPr>
        <w:t>指公司用于统一存储、管理并发布所有经过授权和验证的软件安装包、许可证、文档及版本信息的逻辑存储库。</w:t>
      </w:r>
    </w:p>
    <w:p w14:paraId="2D7B16C6">
      <w:pPr>
        <w:pStyle w:val="30"/>
        <w:bidi w:val="0"/>
        <w:rPr>
          <w:rFonts w:hint="eastAsia"/>
        </w:rPr>
      </w:pPr>
      <w:r>
        <w:rPr>
          <w:rFonts w:hint="eastAsia"/>
        </w:rPr>
        <w:t>软件资产</w:t>
      </w:r>
    </w:p>
    <w:p w14:paraId="15ECA090">
      <w:pPr>
        <w:pStyle w:val="29"/>
        <w:rPr>
          <w:rFonts w:hint="eastAsia"/>
        </w:rPr>
      </w:pPr>
      <w:r>
        <w:rPr>
          <w:rFonts w:hint="eastAsia"/>
        </w:rPr>
        <w:t>指公司拥有合法使用权的各类软件及其相关许可证明文档。</w:t>
      </w:r>
    </w:p>
    <w:p w14:paraId="7EFB3F1E">
      <w:pPr>
        <w:pStyle w:val="30"/>
        <w:bidi w:val="0"/>
        <w:rPr>
          <w:rFonts w:hint="eastAsia"/>
        </w:rPr>
      </w:pPr>
      <w:r>
        <w:rPr>
          <w:rFonts w:hint="eastAsia"/>
        </w:rPr>
        <w:t>基线版本</w:t>
      </w:r>
    </w:p>
    <w:p w14:paraId="7FAC0F7C">
      <w:pPr>
        <w:pStyle w:val="29"/>
      </w:pPr>
      <w:r>
        <w:rPr>
          <w:rFonts w:hint="eastAsia"/>
        </w:rPr>
        <w:t>指经过全面测试、验证稳定，并被正式批准可在生产环境中部署运行的软件版本。</w:t>
      </w:r>
    </w:p>
    <w:p w14:paraId="60EF8C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4370"/>
      <w:r>
        <w:rPr>
          <w:rFonts w:hint="eastAsia"/>
          <w:lang w:val="en-US" w:eastAsia="zh-CN"/>
        </w:rPr>
        <w:t>管理内容与要求</w:t>
      </w:r>
      <w:bookmarkEnd w:id="9"/>
    </w:p>
    <w:p w14:paraId="415A1D13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软件分类与分级</w:t>
      </w:r>
    </w:p>
    <w:p w14:paraId="4CC536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软件分类：</w:t>
      </w:r>
    </w:p>
    <w:p w14:paraId="3B7874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系统软件：如操作系统、虚拟机监控程序等。</w:t>
      </w:r>
    </w:p>
    <w:p w14:paraId="2616A02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支撑软件：如数据库、中间件、备份软件等。</w:t>
      </w:r>
    </w:p>
    <w:p w14:paraId="38C3A37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工具软件：如监控工具、自动化运维平台、安全扫描工具等。</w:t>
      </w:r>
    </w:p>
    <w:p w14:paraId="7850088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应用补丁：针对上述软件的补丁程序、漏洞修复程序。</w:t>
      </w:r>
    </w:p>
    <w:p w14:paraId="5F3FC80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使用环境分级：</w:t>
      </w:r>
    </w:p>
    <w:p w14:paraId="48865B0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生产环境软件：用于正式业务运营的软件，需经过最严格的测试与审批。</w:t>
      </w:r>
    </w:p>
    <w:p w14:paraId="2CFE2F2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测试环境软件：用于功能、性能测试的软件。</w:t>
      </w:r>
    </w:p>
    <w:p w14:paraId="6B87B68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开发环境软件：用于研发或模拟环境的软件。</w:t>
      </w:r>
    </w:p>
    <w:p w14:paraId="422E0DD2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软件引入与入库</w:t>
      </w:r>
    </w:p>
    <w:p w14:paraId="2256A4F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需求申请：使用部门填写《软件引入申请表》，明确软件用途、技术要求和业务必要性。</w:t>
      </w:r>
    </w:p>
    <w:p w14:paraId="52E7E39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技术评估：运维部与质量部对软件的技术兼容性、性能及安全性进行评估。</w:t>
      </w:r>
    </w:p>
    <w:p w14:paraId="1D926B7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合规审核：采购部负责审核软件许可证类型的合规性及商业条款。</w:t>
      </w:r>
    </w:p>
    <w:p w14:paraId="1A35F28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批准入库：所有评估审核通过后，由运维部负责人批准。软件包、许可证文件及相关文档由软件库管理员统一录入软件库，并建立初始台账。</w:t>
      </w:r>
    </w:p>
    <w:p w14:paraId="1F848F68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软件存储与版本控制</w:t>
      </w:r>
    </w:p>
    <w:p w14:paraId="548352A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集中存储：所有软件安装包必须存放于指定的软件库服务器中，并进行病毒扫描。</w:t>
      </w:r>
    </w:p>
    <w:p w14:paraId="705E7D3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版本管理：软件库中每个软件均需标识清晰的版本号。对已部署的基线版本进行锁定，任何升级需遵循变更管理流程。</w:t>
      </w:r>
    </w:p>
    <w:p w14:paraId="053BEFC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元数据记录：每个软件条目必须记录名称、版本、供应商、引入日期、许可证信息、MD5校验码、存放路径及负责人等元数据。</w:t>
      </w:r>
    </w:p>
    <w:p w14:paraId="1495740D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软件发布与部署</w:t>
      </w:r>
    </w:p>
    <w:p w14:paraId="572FD1E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申请与审批：软件部署必须经过正式的发布流程审批。部署至生产环境的软件必须是软件库中的基线版本。</w:t>
      </w:r>
    </w:p>
    <w:p w14:paraId="20E4993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来源唯一：所有环境的软件部署，其安装包必须来源于软件库，禁止使用其他来源的安装包。</w:t>
      </w:r>
    </w:p>
    <w:p w14:paraId="06AB48F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记录追踪：每次软件发布与部署均需记录，确保部署行为可追溯。</w:t>
      </w:r>
    </w:p>
    <w:p w14:paraId="768A9A2A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软件维护与退役</w:t>
      </w:r>
    </w:p>
    <w:p w14:paraId="3707D2B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更新与升级：软件升级版本需重新执行引入与入库流程。紧急补丁可走快速通道，但必须事后补全手续并通知质量部。</w:t>
      </w:r>
    </w:p>
    <w:p w14:paraId="15B851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定期盘点：每半年对软件库内的软件资产进行一次全面盘点，核对实物（安装包）与台账（许可证数量）的一致性。</w:t>
      </w:r>
    </w:p>
    <w:p w14:paraId="696AE0D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退役处理：对已停止技术支撑、存在严重安全漏洞或不再使用的软件，由运维部发起退役申请，经批准后，将其移至软件库的历史归档区，并更新资产状态。</w:t>
      </w:r>
    </w:p>
    <w:p w14:paraId="092E4656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考核指标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2049"/>
        <w:gridCol w:w="3427"/>
        <w:gridCol w:w="1107"/>
        <w:gridCol w:w="1094"/>
      </w:tblGrid>
      <w:tr w14:paraId="0DF3A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0F3BE4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2049" w:type="dxa"/>
          </w:tcPr>
          <w:p w14:paraId="28F79B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427" w:type="dxa"/>
          </w:tcPr>
          <w:p w14:paraId="66256F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313D7B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7583A6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0F5B8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13B0B5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2049" w:type="dxa"/>
          </w:tcPr>
          <w:p w14:paraId="1E841C6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软件版本一致率</w:t>
            </w:r>
          </w:p>
        </w:tc>
        <w:tc>
          <w:tcPr>
            <w:tcW w:w="3427" w:type="dxa"/>
          </w:tcPr>
          <w:p w14:paraId="1BD91A9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（生产环境中与最终软件库版本一致的组件数/发布版本总数）*100%</w:t>
            </w:r>
          </w:p>
        </w:tc>
        <w:tc>
          <w:tcPr>
            <w:tcW w:w="1107" w:type="dxa"/>
          </w:tcPr>
          <w:p w14:paraId="2FCE6EE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年度</w:t>
            </w:r>
          </w:p>
        </w:tc>
        <w:tc>
          <w:tcPr>
            <w:tcW w:w="1094" w:type="dxa"/>
          </w:tcPr>
          <w:p w14:paraId="55CD9B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≥95</w:t>
            </w:r>
            <w:bookmarkStart w:id="16" w:name="_GoBack"/>
            <w:bookmarkEnd w:id="16"/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%</w:t>
            </w:r>
          </w:p>
        </w:tc>
      </w:tr>
    </w:tbl>
    <w:p w14:paraId="738BE49F">
      <w:pPr>
        <w:pStyle w:val="29"/>
        <w:rPr>
          <w:rFonts w:hint="default"/>
          <w:lang w:val="en-US" w:eastAsia="zh-CN"/>
        </w:rPr>
      </w:pPr>
    </w:p>
    <w:p w14:paraId="646CB7F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10" w:name="bookmark3"/>
      <w:bookmarkEnd w:id="10"/>
      <w:bookmarkStart w:id="11" w:name="_Toc26732"/>
      <w:bookmarkStart w:id="12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11"/>
      <w:bookmarkEnd w:id="12"/>
    </w:p>
    <w:p w14:paraId="282C941D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运维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55478B85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29412FC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bookmark14"/>
      <w:bookmarkEnd w:id="13"/>
      <w:bookmarkStart w:id="14" w:name="_Toc3387"/>
      <w:r>
        <w:rPr>
          <w:rFonts w:hint="eastAsia"/>
          <w:lang w:val="en-US" w:eastAsia="zh-CN"/>
        </w:rPr>
        <w:t>附件</w:t>
      </w:r>
      <w:bookmarkEnd w:id="14"/>
    </w:p>
    <w:p w14:paraId="48C91637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4863664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16438"/>
      <w:r>
        <w:rPr>
          <w:rFonts w:hint="eastAsia"/>
          <w:lang w:val="en-US" w:eastAsia="zh-CN"/>
        </w:rPr>
        <w:t>记录</w:t>
      </w:r>
      <w:bookmarkEnd w:id="15"/>
    </w:p>
    <w:p w14:paraId="05F117FD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619F5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67310</wp:posOffset>
          </wp:positionH>
          <wp:positionV relativeFrom="paragraph">
            <wp:posOffset>-345440</wp:posOffset>
          </wp:positionV>
          <wp:extent cx="718820" cy="461010"/>
          <wp:effectExtent l="0" t="0" r="12700" b="11430"/>
          <wp:wrapNone/>
          <wp:docPr id="1" name="图片 1" descr="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8820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阿克苏智汇人才服务</w:t>
    </w:r>
    <w:r>
      <w:rPr>
        <w:rFonts w:hint="eastAsia" w:eastAsiaTheme="minorEastAsia"/>
        <w:lang w:eastAsia="zh-CN"/>
      </w:rPr>
      <w:t>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783616"/>
    <w:multiLevelType w:val="singleLevel"/>
    <w:tmpl w:val="897836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BF360E9F"/>
    <w:multiLevelType w:val="singleLevel"/>
    <w:tmpl w:val="BF360E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3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5574E"/>
    <w:rsid w:val="0104303E"/>
    <w:rsid w:val="01E07299"/>
    <w:rsid w:val="0211124F"/>
    <w:rsid w:val="029C58B6"/>
    <w:rsid w:val="02CE3596"/>
    <w:rsid w:val="02EA4873"/>
    <w:rsid w:val="040604A9"/>
    <w:rsid w:val="056C5A14"/>
    <w:rsid w:val="05980692"/>
    <w:rsid w:val="073D05DE"/>
    <w:rsid w:val="07660A33"/>
    <w:rsid w:val="080D4B60"/>
    <w:rsid w:val="09975029"/>
    <w:rsid w:val="09D65B51"/>
    <w:rsid w:val="09DA5642"/>
    <w:rsid w:val="09F2400E"/>
    <w:rsid w:val="09FC6C3A"/>
    <w:rsid w:val="0AA417AC"/>
    <w:rsid w:val="0CF12BAD"/>
    <w:rsid w:val="0DFC774A"/>
    <w:rsid w:val="0F4F57A4"/>
    <w:rsid w:val="0FD115EF"/>
    <w:rsid w:val="0FF20B75"/>
    <w:rsid w:val="127C6B6A"/>
    <w:rsid w:val="130628D8"/>
    <w:rsid w:val="131B2827"/>
    <w:rsid w:val="139879D4"/>
    <w:rsid w:val="13D604FC"/>
    <w:rsid w:val="13EC5F71"/>
    <w:rsid w:val="143C2A55"/>
    <w:rsid w:val="14634486"/>
    <w:rsid w:val="14B42767"/>
    <w:rsid w:val="14E862E7"/>
    <w:rsid w:val="15CC7E09"/>
    <w:rsid w:val="15EC2259"/>
    <w:rsid w:val="16A42B33"/>
    <w:rsid w:val="16B0772A"/>
    <w:rsid w:val="170D06D9"/>
    <w:rsid w:val="17103D25"/>
    <w:rsid w:val="17710C68"/>
    <w:rsid w:val="1797236A"/>
    <w:rsid w:val="17BE19D3"/>
    <w:rsid w:val="17DF25E3"/>
    <w:rsid w:val="18846779"/>
    <w:rsid w:val="18F465E3"/>
    <w:rsid w:val="191A46EE"/>
    <w:rsid w:val="195E521C"/>
    <w:rsid w:val="19E020D4"/>
    <w:rsid w:val="1A1F726D"/>
    <w:rsid w:val="1A824F3A"/>
    <w:rsid w:val="1A9923D9"/>
    <w:rsid w:val="1BC709D8"/>
    <w:rsid w:val="1D997E65"/>
    <w:rsid w:val="1E692834"/>
    <w:rsid w:val="1EAA4A5F"/>
    <w:rsid w:val="1EFD1033"/>
    <w:rsid w:val="1FCB1131"/>
    <w:rsid w:val="20D91840"/>
    <w:rsid w:val="215C6FE4"/>
    <w:rsid w:val="21D56297"/>
    <w:rsid w:val="23A26E72"/>
    <w:rsid w:val="23DD436C"/>
    <w:rsid w:val="23FD59BD"/>
    <w:rsid w:val="26C427F2"/>
    <w:rsid w:val="26F0750E"/>
    <w:rsid w:val="27400656"/>
    <w:rsid w:val="2908648D"/>
    <w:rsid w:val="294F2DD3"/>
    <w:rsid w:val="2975663E"/>
    <w:rsid w:val="2A8B6C6D"/>
    <w:rsid w:val="2B612949"/>
    <w:rsid w:val="2C9A6060"/>
    <w:rsid w:val="2DC6028F"/>
    <w:rsid w:val="2E500F2E"/>
    <w:rsid w:val="2F041F69"/>
    <w:rsid w:val="2FC11C09"/>
    <w:rsid w:val="301937F3"/>
    <w:rsid w:val="32E225C2"/>
    <w:rsid w:val="333746BC"/>
    <w:rsid w:val="346C0F8D"/>
    <w:rsid w:val="3474193F"/>
    <w:rsid w:val="350D601C"/>
    <w:rsid w:val="35270760"/>
    <w:rsid w:val="35DE67BA"/>
    <w:rsid w:val="36883480"/>
    <w:rsid w:val="36914A2B"/>
    <w:rsid w:val="3699743B"/>
    <w:rsid w:val="375F2433"/>
    <w:rsid w:val="37971BCD"/>
    <w:rsid w:val="37C03C5F"/>
    <w:rsid w:val="37DF17C6"/>
    <w:rsid w:val="37E666B0"/>
    <w:rsid w:val="3914549F"/>
    <w:rsid w:val="39C173D5"/>
    <w:rsid w:val="3B6250F8"/>
    <w:rsid w:val="3C265C15"/>
    <w:rsid w:val="3D522DF4"/>
    <w:rsid w:val="3D5F4115"/>
    <w:rsid w:val="3E287A22"/>
    <w:rsid w:val="3E5A3954"/>
    <w:rsid w:val="3F2D2E17"/>
    <w:rsid w:val="3FC574F3"/>
    <w:rsid w:val="40646D0C"/>
    <w:rsid w:val="40714F85"/>
    <w:rsid w:val="40873B7A"/>
    <w:rsid w:val="40B11D0C"/>
    <w:rsid w:val="41DA54D8"/>
    <w:rsid w:val="426164FC"/>
    <w:rsid w:val="43223C0F"/>
    <w:rsid w:val="4368266F"/>
    <w:rsid w:val="436D237B"/>
    <w:rsid w:val="43996CCD"/>
    <w:rsid w:val="44782D86"/>
    <w:rsid w:val="45EE5265"/>
    <w:rsid w:val="46BF2EEE"/>
    <w:rsid w:val="472B0583"/>
    <w:rsid w:val="47BB1907"/>
    <w:rsid w:val="484F2050"/>
    <w:rsid w:val="48FA020D"/>
    <w:rsid w:val="49B33C44"/>
    <w:rsid w:val="49CC1B61"/>
    <w:rsid w:val="4BAD7FC9"/>
    <w:rsid w:val="4BFB76A0"/>
    <w:rsid w:val="4D1711C1"/>
    <w:rsid w:val="4E0B149B"/>
    <w:rsid w:val="4F3A5808"/>
    <w:rsid w:val="4F6F1974"/>
    <w:rsid w:val="503F29AA"/>
    <w:rsid w:val="50BE0A71"/>
    <w:rsid w:val="511C5981"/>
    <w:rsid w:val="517254B9"/>
    <w:rsid w:val="51F0261E"/>
    <w:rsid w:val="54526F33"/>
    <w:rsid w:val="5486504B"/>
    <w:rsid w:val="54CB7E3C"/>
    <w:rsid w:val="55894DF3"/>
    <w:rsid w:val="5632548A"/>
    <w:rsid w:val="574F3E1A"/>
    <w:rsid w:val="58675193"/>
    <w:rsid w:val="58727DC0"/>
    <w:rsid w:val="599471F1"/>
    <w:rsid w:val="59D95C1D"/>
    <w:rsid w:val="5A2E0E39"/>
    <w:rsid w:val="5A6610C0"/>
    <w:rsid w:val="5B0B0058"/>
    <w:rsid w:val="5B85605C"/>
    <w:rsid w:val="5C875B0C"/>
    <w:rsid w:val="5CB71FB5"/>
    <w:rsid w:val="5D0D6A04"/>
    <w:rsid w:val="5D2E6280"/>
    <w:rsid w:val="5D4B5084"/>
    <w:rsid w:val="5D6677C8"/>
    <w:rsid w:val="5E6A32E8"/>
    <w:rsid w:val="5EFB71CC"/>
    <w:rsid w:val="5F7F1015"/>
    <w:rsid w:val="60C56EFB"/>
    <w:rsid w:val="613E7799"/>
    <w:rsid w:val="616B4900"/>
    <w:rsid w:val="6200643D"/>
    <w:rsid w:val="62312EF8"/>
    <w:rsid w:val="62522A10"/>
    <w:rsid w:val="640721AA"/>
    <w:rsid w:val="647056C0"/>
    <w:rsid w:val="652A5B5F"/>
    <w:rsid w:val="657F3B1C"/>
    <w:rsid w:val="659C092C"/>
    <w:rsid w:val="65C43C25"/>
    <w:rsid w:val="678C0773"/>
    <w:rsid w:val="68804644"/>
    <w:rsid w:val="698F3ABF"/>
    <w:rsid w:val="699B292A"/>
    <w:rsid w:val="69CA10DE"/>
    <w:rsid w:val="69DB53BE"/>
    <w:rsid w:val="6BAD2A66"/>
    <w:rsid w:val="6BDD42B9"/>
    <w:rsid w:val="6BF30DC0"/>
    <w:rsid w:val="6D834437"/>
    <w:rsid w:val="6DB46CBB"/>
    <w:rsid w:val="6E6623CD"/>
    <w:rsid w:val="6EEB3FD1"/>
    <w:rsid w:val="6F887A72"/>
    <w:rsid w:val="711772FF"/>
    <w:rsid w:val="713003C1"/>
    <w:rsid w:val="7141437C"/>
    <w:rsid w:val="73593BFF"/>
    <w:rsid w:val="73644352"/>
    <w:rsid w:val="73C7661F"/>
    <w:rsid w:val="76960176"/>
    <w:rsid w:val="76C45833"/>
    <w:rsid w:val="76F6721A"/>
    <w:rsid w:val="776C1A27"/>
    <w:rsid w:val="783E1615"/>
    <w:rsid w:val="78B13B95"/>
    <w:rsid w:val="78CA2EA9"/>
    <w:rsid w:val="78D1021F"/>
    <w:rsid w:val="7A1940E8"/>
    <w:rsid w:val="7A2F7467"/>
    <w:rsid w:val="7B4E6013"/>
    <w:rsid w:val="7B5C70B9"/>
    <w:rsid w:val="7C066719"/>
    <w:rsid w:val="7C434C07"/>
    <w:rsid w:val="7D0C7F34"/>
    <w:rsid w:val="7DA168CE"/>
    <w:rsid w:val="7DF905A7"/>
    <w:rsid w:val="7E086FD3"/>
    <w:rsid w:val="7F8244DD"/>
    <w:rsid w:val="7F9B10FB"/>
    <w:rsid w:val="7FE77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1791</Words>
  <Characters>1920</Characters>
  <Lines>0</Lines>
  <Paragraphs>0</Paragraphs>
  <TotalTime>1</TotalTime>
  <ScaleCrop>false</ScaleCrop>
  <LinksUpToDate>false</LinksUpToDate>
  <CharactersWithSpaces>1985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2025-10-26T20:09:33Z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