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8791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16158"/>
      <w:r>
        <w:rPr>
          <w:rFonts w:hint="eastAsia"/>
          <w:lang w:val="en-US" w:eastAsia="zh-CN"/>
        </w:rPr>
        <w:t>服务数据管理制度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4F6D0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_Toc28791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131E8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_Toc16158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7751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BA97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3EE0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_Toc13368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598E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36D3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766B3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F0D6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质量部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37ABD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研发部</w:t>
          </w:r>
          <w:r>
            <w:tab/>
          </w:r>
          <w:r>
            <w:fldChar w:fldCharType="begin"/>
          </w:r>
          <w:r>
            <w:instrText xml:space="preserve"> PAGEREF _Toc1895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66F3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人力部</w:t>
          </w:r>
          <w:r>
            <w:tab/>
          </w:r>
          <w:r>
            <w:fldChar w:fldCharType="begin"/>
          </w:r>
          <w:r>
            <w:instrText xml:space="preserve"> PAGEREF _Toc23035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317D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采购部</w:t>
          </w:r>
          <w:r>
            <w:tab/>
          </w:r>
          <w:r>
            <w:fldChar w:fldCharType="begin"/>
          </w:r>
          <w:r>
            <w:instrText xml:space="preserve"> PAGEREF _Toc8083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8C30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298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5B6C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运维服务数据</w:t>
          </w:r>
          <w:r>
            <w:tab/>
          </w:r>
          <w:r>
            <w:fldChar w:fldCharType="begin"/>
          </w:r>
          <w:r>
            <w:instrText xml:space="preserve"> PAGEREF _Toc7130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895D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数据资产目录</w:t>
          </w:r>
          <w:r>
            <w:tab/>
          </w:r>
          <w:r>
            <w:fldChar w:fldCharType="begin"/>
          </w:r>
          <w:r>
            <w:instrText xml:space="preserve"> PAGEREF _Toc19131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1846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数据定级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28A5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_Toc13680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6887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数据分类与定级</w:t>
          </w:r>
          <w:r>
            <w:tab/>
          </w:r>
          <w:r>
            <w:fldChar w:fldCharType="begin"/>
          </w:r>
          <w:r>
            <w:instrText xml:space="preserve"> PAGEREF _Toc17950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AFDC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数据质量管理</w:t>
          </w:r>
          <w:r>
            <w:tab/>
          </w:r>
          <w:r>
            <w:fldChar w:fldCharType="begin"/>
          </w:r>
          <w:r>
            <w:instrText xml:space="preserve"> PAGEREF _Toc12023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2E2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数据安全管理</w:t>
          </w:r>
          <w:r>
            <w:tab/>
          </w:r>
          <w:r>
            <w:fldChar w:fldCharType="begin"/>
          </w:r>
          <w:r>
            <w:instrText xml:space="preserve"> PAGEREF _Toc30640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6245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数据生命周期管理</w:t>
          </w:r>
          <w:r>
            <w:tab/>
          </w:r>
          <w:r>
            <w:fldChar w:fldCharType="begin"/>
          </w:r>
          <w:r>
            <w:instrText xml:space="preserve"> PAGEREF _Toc22505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E6EC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数据驱动决策机制</w:t>
          </w:r>
          <w:r>
            <w:tab/>
          </w:r>
          <w:r>
            <w:fldChar w:fldCharType="begin"/>
          </w:r>
          <w:r>
            <w:instrText xml:space="preserve"> PAGEREF _Toc31613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09293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3BD9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_Toc25359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EB2F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5630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7056"/>
      <w:r>
        <w:rPr>
          <w:rFonts w:hint="eastAsia"/>
          <w:lang w:val="en-US" w:eastAsia="zh-CN"/>
        </w:rPr>
        <w:t>目的</w:t>
      </w:r>
      <w:bookmarkEnd w:id="3"/>
    </w:p>
    <w:p w14:paraId="4FD82D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立本公司运维服务数据的管理框架，规范数据的产生、处理、使用与保护全流程，深度挖掘数据资产价值，赋能服务决策与创新，保障数据安全与合规，支撑运维服务能力的持续提升与ITSS成熟度要求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3368"/>
      <w:r>
        <w:rPr>
          <w:rFonts w:hint="eastAsia"/>
          <w:lang w:val="en-US" w:eastAsia="zh-CN"/>
        </w:rPr>
        <w:t>适用范围</w:t>
      </w:r>
      <w:bookmarkEnd w:id="4"/>
    </w:p>
    <w:p w14:paraId="7A8B28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本制度适用于公司内所有与运维服务活动相关的部门及人员，涉及运维部、研发部、质量部、人力部及采购部在业务过程中生成、存储、流转和分析的各类数据。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105"/>
      <w:r>
        <w:rPr>
          <w:rFonts w:hint="eastAsia"/>
          <w:lang w:val="en-US" w:eastAsia="zh-CN"/>
        </w:rPr>
        <w:t>原则</w:t>
      </w:r>
      <w:bookmarkEnd w:id="5"/>
    </w:p>
    <w:p w14:paraId="2187491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价值导向原则：数据管理活动应聚焦于支持业务决策、优化服务流程与提升客户体验。</w:t>
      </w:r>
    </w:p>
    <w:p w14:paraId="61E33EF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权责对等原则：数据在共享与使用的同时，必须明确主体责任，确保数据安全与合规。</w:t>
      </w:r>
    </w:p>
    <w:p w14:paraId="3D7DA9C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全生命周期管理原则：对数据从创建到销毁的每个阶段实施相适应的管理策略。</w:t>
      </w:r>
    </w:p>
    <w:p w14:paraId="580FC58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质量贯穿始终原则：数据质量是数据价值的前提，需在各个环节得到保障。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077"/>
      <w:r>
        <w:rPr>
          <w:rFonts w:hint="eastAsia"/>
          <w:lang w:val="en-US" w:eastAsia="zh-CN"/>
        </w:rPr>
        <w:t>岗位职责</w:t>
      </w:r>
      <w:bookmarkEnd w:id="6"/>
    </w:p>
    <w:p w14:paraId="7C8F6A7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2054"/>
      <w:r>
        <w:rPr>
          <w:rFonts w:hint="default"/>
          <w:lang w:val="en-US" w:eastAsia="zh-CN"/>
        </w:rPr>
        <w:t>运维部</w:t>
      </w:r>
      <w:bookmarkEnd w:id="7"/>
    </w:p>
    <w:p w14:paraId="7EB95A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是本制度的核心执行部门，负责运维数据的日常采集、录入、校验与应用，是数据质量的第一责任人。</w:t>
      </w:r>
    </w:p>
    <w:p w14:paraId="547157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负责数据的分类、归档、维护日常数据台账，并协调解决数据争议。</w:t>
      </w:r>
    </w:p>
    <w:p w14:paraId="620DA96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6583"/>
      <w:r>
        <w:rPr>
          <w:rFonts w:hint="default"/>
          <w:lang w:val="en-US" w:eastAsia="zh-CN"/>
        </w:rPr>
        <w:t>质量部</w:t>
      </w:r>
      <w:bookmarkEnd w:id="8"/>
    </w:p>
    <w:p w14:paraId="1D8F27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承担数据质量监督与审计职能，负责定义数据质量度量标准并定期组织评估。</w:t>
      </w:r>
    </w:p>
    <w:p w14:paraId="54091F4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895"/>
      <w:r>
        <w:rPr>
          <w:rFonts w:hint="default"/>
          <w:lang w:val="en-US" w:eastAsia="zh-CN"/>
        </w:rPr>
        <w:t>研发部</w:t>
      </w:r>
      <w:bookmarkEnd w:id="9"/>
    </w:p>
    <w:p w14:paraId="3850BB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负责提供数据管理所需的技术平台与工具支撑，确保系统的数据处理能力与管理制度相匹配。</w:t>
      </w:r>
    </w:p>
    <w:p w14:paraId="6534B11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3035"/>
      <w:r>
        <w:rPr>
          <w:rFonts w:hint="default"/>
          <w:lang w:val="en-US" w:eastAsia="zh-CN"/>
        </w:rPr>
        <w:t>人力部</w:t>
      </w:r>
      <w:bookmarkEnd w:id="10"/>
    </w:p>
    <w:p w14:paraId="5EA12F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负责将数据管理成效纳入相关岗位的绩效考核与激励机制。</w:t>
      </w:r>
    </w:p>
    <w:p w14:paraId="64F0D2E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8083"/>
      <w:r>
        <w:rPr>
          <w:rFonts w:hint="default"/>
          <w:lang w:val="en-US" w:eastAsia="zh-CN"/>
        </w:rPr>
        <w:t>采购部</w:t>
      </w:r>
      <w:bookmarkEnd w:id="11"/>
    </w:p>
    <w:p w14:paraId="3EDBA3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负责在引入外部产品或服务时，评估并约束其数据接口、安全与合规性是否符合本制度要求。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7601"/>
      <w:r>
        <w:rPr>
          <w:rFonts w:hint="eastAsia"/>
          <w:lang w:val="en-US" w:eastAsia="zh-CN"/>
        </w:rPr>
        <w:t>引用依据</w:t>
      </w:r>
      <w:bookmarkEnd w:id="12"/>
    </w:p>
    <w:p w14:paraId="094BFF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 w14:paraId="4D52887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7090E47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3579E56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3245837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10624"/>
      <w:r>
        <w:rPr>
          <w:rFonts w:hint="eastAsia"/>
          <w:lang w:val="en-US" w:eastAsia="zh-CN"/>
        </w:rPr>
        <w:t>定义与术语</w:t>
      </w:r>
      <w:bookmarkEnd w:id="13"/>
    </w:p>
    <w:p w14:paraId="094F62E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7130"/>
      <w:r>
        <w:rPr>
          <w:rFonts w:hint="eastAsia"/>
        </w:rPr>
        <w:t>运维服务数据</w:t>
      </w:r>
      <w:bookmarkEnd w:id="14"/>
    </w:p>
    <w:p w14:paraId="74648B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在运维服务交付、运营与管理过程中产生的，能够记录服务行为、反映服务状态、衡量服务成果的所有原始数据与派生信息的集合。</w:t>
      </w:r>
    </w:p>
    <w:p w14:paraId="28678D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9131"/>
      <w:r>
        <w:rPr>
          <w:rFonts w:hint="eastAsia"/>
        </w:rPr>
        <w:t>数据资产目录</w:t>
      </w:r>
      <w:bookmarkEnd w:id="15"/>
    </w:p>
    <w:p w14:paraId="1531DA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对公司持有的运维服务数据资产的系统性编目，用以描述数据的业务含义、来源、格式、负责人等核心元数据。</w:t>
      </w:r>
    </w:p>
    <w:p w14:paraId="186C2FF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3630"/>
      <w:r>
        <w:rPr>
          <w:rFonts w:hint="eastAsia"/>
        </w:rPr>
        <w:t>数据定级</w:t>
      </w:r>
      <w:bookmarkEnd w:id="16"/>
    </w:p>
    <w:p w14:paraId="3C9E62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根据数据遭到篡改、破坏、泄露或非法利用后，可能对公司、客户造成的潜在影响程度，所划分的数据安全级别。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3680"/>
      <w:r>
        <w:rPr>
          <w:rFonts w:hint="eastAsia"/>
          <w:lang w:val="en-US" w:eastAsia="zh-CN"/>
        </w:rPr>
        <w:t>管理内容与要求</w:t>
      </w:r>
      <w:bookmarkEnd w:id="17"/>
    </w:p>
    <w:p w14:paraId="6D5455E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950"/>
      <w:r>
        <w:rPr>
          <w:rFonts w:hint="default"/>
          <w:lang w:val="en-US" w:eastAsia="zh-CN"/>
        </w:rPr>
        <w:t>数据分类与定级</w:t>
      </w:r>
      <w:bookmarkEnd w:id="18"/>
    </w:p>
    <w:p w14:paraId="4A6319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业务分类体系：建立以服务生命周期为主线的数据分类体系，包括：</w:t>
      </w:r>
    </w:p>
    <w:p w14:paraId="7874EF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服务需求数据：如服务请求、客户需求描述。</w:t>
      </w:r>
    </w:p>
    <w:p w14:paraId="75B3D3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服务交付数据：如事件记录、变更记录、SLA/SLI达成数据。</w:t>
      </w:r>
    </w:p>
    <w:p w14:paraId="788A0E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资源配置数据：如配置管理数据库（CMDB）中的所有条目及关系。</w:t>
      </w:r>
    </w:p>
    <w:p w14:paraId="7FF25A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服务效能数据：如团队工作效率、资源利用率、成本数据。</w:t>
      </w:r>
    </w:p>
    <w:p w14:paraId="209B96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安全定级标准：依据数据敏感性，实施四级安全定级：</w:t>
      </w:r>
    </w:p>
    <w:p w14:paraId="3746DE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公开（L1）： 可对外发布的服务统计摘要、白皮书等。</w:t>
      </w:r>
    </w:p>
    <w:p w14:paraId="1A0163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内部（L2）： 日常运营数据，仅限内部员工依职使用。</w:t>
      </w:r>
    </w:p>
    <w:p w14:paraId="00556D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敏感（L3）： 包含客户业务信息、个人数据的操作记录。</w:t>
      </w:r>
    </w:p>
    <w:p w14:paraId="5A3CBB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机密（L4）： 核心系统架构、安全漏洞细节、未公开的应急预案等。</w:t>
      </w:r>
    </w:p>
    <w:p w14:paraId="0902E703">
      <w:pPr>
        <w:pStyle w:val="30"/>
        <w:bidi w:val="0"/>
        <w:rPr>
          <w:rFonts w:hint="default"/>
          <w:lang w:val="en-US" w:eastAsia="zh-CN"/>
        </w:rPr>
      </w:pPr>
      <w:bookmarkStart w:id="19" w:name="_Toc12023"/>
      <w:r>
        <w:rPr>
          <w:rFonts w:hint="default"/>
          <w:lang w:val="en-US" w:eastAsia="zh-CN"/>
        </w:rPr>
        <w:t>数据质量管理</w:t>
      </w:r>
      <w:bookmarkEnd w:id="19"/>
    </w:p>
    <w:p w14:paraId="6ED1AF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质量维度：明确数据在准确性、完整性、一致性、及时性、唯一性五个维度的具体要求。</w:t>
      </w:r>
    </w:p>
    <w:p w14:paraId="3E20A3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源头管理：推行“谁产生，谁负责”的源头数据责任制，确保初始录入质量。</w:t>
      </w:r>
    </w:p>
    <w:p w14:paraId="3D4E62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闭环管理：建立从数据质量问题的发现、记录、分派、整改到验证的闭环处理流程。</w:t>
      </w:r>
    </w:p>
    <w:p w14:paraId="66FA9CA1">
      <w:pPr>
        <w:pStyle w:val="30"/>
        <w:bidi w:val="0"/>
        <w:rPr>
          <w:rFonts w:hint="default"/>
          <w:lang w:val="en-US" w:eastAsia="zh-CN"/>
        </w:rPr>
      </w:pPr>
      <w:bookmarkStart w:id="20" w:name="_Toc30640"/>
      <w:r>
        <w:rPr>
          <w:rFonts w:hint="default"/>
          <w:lang w:val="en-US" w:eastAsia="zh-CN"/>
        </w:rPr>
        <w:t>数据安全管理</w:t>
      </w:r>
      <w:bookmarkEnd w:id="20"/>
    </w:p>
    <w:p w14:paraId="566946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访问授权：遵循最小权限原则，访问权限的申请与审批必须基于明确的业务需求。</w:t>
      </w:r>
    </w:p>
    <w:p w14:paraId="2377D5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操作审计：对机密级和敏感级数据的访问、修改、导出等高风险操作进行日志记录并定期审计。</w:t>
      </w:r>
    </w:p>
    <w:p w14:paraId="236C2C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脱敏与加密：敏感数据在测试、开发及分析环境中必须进行脱敏处理；机密数据在存储和传输过程中必须加密。</w:t>
      </w:r>
    </w:p>
    <w:p w14:paraId="33FD1CF8">
      <w:pPr>
        <w:pStyle w:val="30"/>
        <w:bidi w:val="0"/>
        <w:rPr>
          <w:rFonts w:hint="default"/>
          <w:lang w:val="en-US" w:eastAsia="zh-CN"/>
        </w:rPr>
      </w:pPr>
      <w:bookmarkStart w:id="21" w:name="_Toc22505"/>
      <w:r>
        <w:rPr>
          <w:rFonts w:hint="default"/>
          <w:lang w:val="en-US" w:eastAsia="zh-CN"/>
        </w:rPr>
        <w:t>数据生命周期管理</w:t>
      </w:r>
      <w:bookmarkEnd w:id="21"/>
    </w:p>
    <w:p w14:paraId="64DF8C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创建与采集：明确各类数据的创建来源、采集方式与频率，以及初始质量要求。</w:t>
      </w:r>
    </w:p>
    <w:p w14:paraId="2E8E67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存储与处理：根据数据定级结果，规定其存储环境、备份策略与处理规范。</w:t>
      </w:r>
    </w:p>
    <w:p w14:paraId="3951C6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使用与共享：数据应在授权范围内用于服务分析、报告与决策支持。跨部门共享需签订数据共享协议。</w:t>
      </w:r>
    </w:p>
    <w:p w14:paraId="2CD016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归档与销毁：对超出保存期限的活跃数据，应进行归档处理。对需要销毁的数据，必须采用不可恢复的彻底删除方式。</w:t>
      </w:r>
    </w:p>
    <w:p w14:paraId="71BC7B8C">
      <w:pPr>
        <w:pStyle w:val="30"/>
        <w:bidi w:val="0"/>
        <w:rPr>
          <w:rFonts w:hint="default"/>
          <w:lang w:val="en-US" w:eastAsia="zh-CN"/>
        </w:rPr>
      </w:pPr>
      <w:bookmarkStart w:id="22" w:name="_Toc31613"/>
      <w:r>
        <w:rPr>
          <w:rFonts w:hint="default"/>
          <w:lang w:val="en-US" w:eastAsia="zh-CN"/>
        </w:rPr>
        <w:t>数据驱动决策机制</w:t>
      </w:r>
      <w:bookmarkEnd w:id="22"/>
    </w:p>
    <w:p w14:paraId="112804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定期分析报告：运维部应联合质量部，定期（如每月）生成运维服务数据分析报告，并向管理层汇报。</w:t>
      </w:r>
    </w:p>
    <w:p w14:paraId="3F4FE9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数据洞察应用：鼓励基于数据分析结果优化巡检策略、调整资源配额、改进应急预案，实现主动运维。</w:t>
      </w:r>
    </w:p>
    <w:p w14:paraId="092E4656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  <w:bookmarkStart w:id="29" w:name="_GoBack"/>
      <w:bookmarkEnd w:id="2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 w14:paraId="1E841C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427" w:type="dxa"/>
          </w:tcPr>
          <w:p w14:paraId="1BD91A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 w14:paraId="3E37BF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3" w:name="bookmark3"/>
      <w:bookmarkEnd w:id="23"/>
      <w:bookmarkStart w:id="24" w:name="_Toc17424"/>
      <w:bookmarkStart w:id="25" w:name="_Toc10681"/>
      <w:r>
        <w:rPr>
          <w:rStyle w:val="38"/>
          <w:rFonts w:hint="eastAsia" w:eastAsia="宋体"/>
          <w:lang w:val="en-US" w:eastAsia="zh-CN"/>
        </w:rPr>
        <w:t>附则</w:t>
      </w:r>
      <w:bookmarkEnd w:id="24"/>
      <w:bookmarkEnd w:id="25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bookmark14"/>
      <w:bookmarkEnd w:id="26"/>
      <w:bookmarkStart w:id="27" w:name="_Toc25359"/>
      <w:r>
        <w:rPr>
          <w:rFonts w:hint="eastAsia"/>
          <w:lang w:val="en-US" w:eastAsia="zh-CN"/>
        </w:rPr>
        <w:t>附件</w:t>
      </w:r>
      <w:bookmarkEnd w:id="27"/>
    </w:p>
    <w:p w14:paraId="2CAC0E33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《数据资产目录（模板）》</w:t>
      </w:r>
    </w:p>
    <w:p w14:paraId="40CEEFE9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《数据质量评估表》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32285"/>
      <w:r>
        <w:rPr>
          <w:rFonts w:hint="eastAsia"/>
          <w:lang w:val="en-US" w:eastAsia="zh-CN"/>
        </w:rPr>
        <w:t>记录</w:t>
      </w:r>
      <w:bookmarkEnd w:id="28"/>
    </w:p>
    <w:p w14:paraId="54833CD1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《数据访问权限申请审批表》</w:t>
      </w:r>
    </w:p>
    <w:p w14:paraId="05F117FD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《数据共享协议》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A3C57"/>
    <w:multiLevelType w:val="singleLevel"/>
    <w:tmpl w:val="887A3C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D7B486EB"/>
    <w:multiLevelType w:val="singleLevel"/>
    <w:tmpl w:val="D7B486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C84E5B"/>
    <w:multiLevelType w:val="singleLevel"/>
    <w:tmpl w:val="DCC84E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4368B2"/>
    <w:multiLevelType w:val="singleLevel"/>
    <w:tmpl w:val="244368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D9637F"/>
    <w:rsid w:val="0104303E"/>
    <w:rsid w:val="01814321"/>
    <w:rsid w:val="01CF6826"/>
    <w:rsid w:val="01DC6760"/>
    <w:rsid w:val="01E07299"/>
    <w:rsid w:val="0211124F"/>
    <w:rsid w:val="029C58B6"/>
    <w:rsid w:val="02CE3596"/>
    <w:rsid w:val="02EA4873"/>
    <w:rsid w:val="040604A9"/>
    <w:rsid w:val="04DA0918"/>
    <w:rsid w:val="05980692"/>
    <w:rsid w:val="06182C09"/>
    <w:rsid w:val="073D05DE"/>
    <w:rsid w:val="07660A33"/>
    <w:rsid w:val="080D4B60"/>
    <w:rsid w:val="093A3733"/>
    <w:rsid w:val="09975029"/>
    <w:rsid w:val="09D65B51"/>
    <w:rsid w:val="09F2400E"/>
    <w:rsid w:val="09F71624"/>
    <w:rsid w:val="09FC6C3A"/>
    <w:rsid w:val="0CF12BAD"/>
    <w:rsid w:val="0D004C93"/>
    <w:rsid w:val="0E0D40F9"/>
    <w:rsid w:val="0F4F57A4"/>
    <w:rsid w:val="0F803E6A"/>
    <w:rsid w:val="0FD115EF"/>
    <w:rsid w:val="107514F4"/>
    <w:rsid w:val="10BE4A11"/>
    <w:rsid w:val="117A5014"/>
    <w:rsid w:val="11855D8B"/>
    <w:rsid w:val="121A2353"/>
    <w:rsid w:val="127C6B6A"/>
    <w:rsid w:val="12B02CB8"/>
    <w:rsid w:val="12C25D81"/>
    <w:rsid w:val="130628D8"/>
    <w:rsid w:val="131B2827"/>
    <w:rsid w:val="139879D4"/>
    <w:rsid w:val="13D604FC"/>
    <w:rsid w:val="14B42767"/>
    <w:rsid w:val="15CC7E09"/>
    <w:rsid w:val="15EC2259"/>
    <w:rsid w:val="169C77DB"/>
    <w:rsid w:val="16B0772A"/>
    <w:rsid w:val="16C84A74"/>
    <w:rsid w:val="170D06D9"/>
    <w:rsid w:val="17103D25"/>
    <w:rsid w:val="17710C68"/>
    <w:rsid w:val="17771FF6"/>
    <w:rsid w:val="17B84AE8"/>
    <w:rsid w:val="17BE19D3"/>
    <w:rsid w:val="17DF25E3"/>
    <w:rsid w:val="18846779"/>
    <w:rsid w:val="189C1AEC"/>
    <w:rsid w:val="18F465E3"/>
    <w:rsid w:val="19E020D4"/>
    <w:rsid w:val="1A9923D9"/>
    <w:rsid w:val="1ABE2417"/>
    <w:rsid w:val="1B0342CC"/>
    <w:rsid w:val="1B1D4C62"/>
    <w:rsid w:val="1B3F1E98"/>
    <w:rsid w:val="1B4B17D0"/>
    <w:rsid w:val="1BC709D8"/>
    <w:rsid w:val="1C9B1C69"/>
    <w:rsid w:val="1D997E65"/>
    <w:rsid w:val="1E692834"/>
    <w:rsid w:val="1EFD1033"/>
    <w:rsid w:val="1F75506D"/>
    <w:rsid w:val="1FCB1131"/>
    <w:rsid w:val="20D91840"/>
    <w:rsid w:val="215C6FE4"/>
    <w:rsid w:val="23A26E72"/>
    <w:rsid w:val="23DD436C"/>
    <w:rsid w:val="23FD59BD"/>
    <w:rsid w:val="24547947"/>
    <w:rsid w:val="25590781"/>
    <w:rsid w:val="2560231B"/>
    <w:rsid w:val="26153106"/>
    <w:rsid w:val="26C427F2"/>
    <w:rsid w:val="273E668C"/>
    <w:rsid w:val="28E31299"/>
    <w:rsid w:val="2908648D"/>
    <w:rsid w:val="290B611E"/>
    <w:rsid w:val="294F2DD3"/>
    <w:rsid w:val="2975663E"/>
    <w:rsid w:val="2A8B6C6D"/>
    <w:rsid w:val="2B612949"/>
    <w:rsid w:val="2B944ACD"/>
    <w:rsid w:val="2C585889"/>
    <w:rsid w:val="2D2D6F87"/>
    <w:rsid w:val="2DA301D8"/>
    <w:rsid w:val="2E500F2E"/>
    <w:rsid w:val="2F041F69"/>
    <w:rsid w:val="2F0A1F67"/>
    <w:rsid w:val="2FC11C09"/>
    <w:rsid w:val="333746BC"/>
    <w:rsid w:val="341D1505"/>
    <w:rsid w:val="346C0F8D"/>
    <w:rsid w:val="34F32864"/>
    <w:rsid w:val="350D601C"/>
    <w:rsid w:val="35DE67BA"/>
    <w:rsid w:val="36883480"/>
    <w:rsid w:val="36914A2B"/>
    <w:rsid w:val="3699743B"/>
    <w:rsid w:val="3747333B"/>
    <w:rsid w:val="375F2433"/>
    <w:rsid w:val="37971BCD"/>
    <w:rsid w:val="37DF17C6"/>
    <w:rsid w:val="37E666B0"/>
    <w:rsid w:val="3914549F"/>
    <w:rsid w:val="391A0D07"/>
    <w:rsid w:val="3B6444BC"/>
    <w:rsid w:val="3C265C15"/>
    <w:rsid w:val="3C812E4B"/>
    <w:rsid w:val="3D5F4115"/>
    <w:rsid w:val="3E287A22"/>
    <w:rsid w:val="3E5A3954"/>
    <w:rsid w:val="3F2D2E17"/>
    <w:rsid w:val="3F3C12AC"/>
    <w:rsid w:val="402E6E46"/>
    <w:rsid w:val="40646D0C"/>
    <w:rsid w:val="40873B7A"/>
    <w:rsid w:val="40B11D0C"/>
    <w:rsid w:val="41C63670"/>
    <w:rsid w:val="41DA54D8"/>
    <w:rsid w:val="42091F39"/>
    <w:rsid w:val="426164FC"/>
    <w:rsid w:val="43223C0F"/>
    <w:rsid w:val="4368266F"/>
    <w:rsid w:val="43996CCD"/>
    <w:rsid w:val="454D3BBD"/>
    <w:rsid w:val="45A55DFD"/>
    <w:rsid w:val="45EE5265"/>
    <w:rsid w:val="46BF2EEE"/>
    <w:rsid w:val="46D43205"/>
    <w:rsid w:val="4703600F"/>
    <w:rsid w:val="472B0583"/>
    <w:rsid w:val="47B10A89"/>
    <w:rsid w:val="47B40579"/>
    <w:rsid w:val="47BB1907"/>
    <w:rsid w:val="481E3C44"/>
    <w:rsid w:val="484F2050"/>
    <w:rsid w:val="48A47F31"/>
    <w:rsid w:val="48F279F1"/>
    <w:rsid w:val="48FA020D"/>
    <w:rsid w:val="49B33C44"/>
    <w:rsid w:val="49CC1B61"/>
    <w:rsid w:val="4BFB76A0"/>
    <w:rsid w:val="4CC62D40"/>
    <w:rsid w:val="4D1711C1"/>
    <w:rsid w:val="4E031912"/>
    <w:rsid w:val="4E0B149B"/>
    <w:rsid w:val="4F6F1974"/>
    <w:rsid w:val="4F7D5A68"/>
    <w:rsid w:val="503F29AA"/>
    <w:rsid w:val="50BE0A71"/>
    <w:rsid w:val="511C5981"/>
    <w:rsid w:val="51F0261E"/>
    <w:rsid w:val="5486504B"/>
    <w:rsid w:val="54BA0218"/>
    <w:rsid w:val="54CB7E3C"/>
    <w:rsid w:val="55AC288F"/>
    <w:rsid w:val="56300DBE"/>
    <w:rsid w:val="5632548A"/>
    <w:rsid w:val="575B631B"/>
    <w:rsid w:val="58675193"/>
    <w:rsid w:val="599975CF"/>
    <w:rsid w:val="5A6610C0"/>
    <w:rsid w:val="5B0B0058"/>
    <w:rsid w:val="5B85605C"/>
    <w:rsid w:val="5BB029AE"/>
    <w:rsid w:val="5D0D6A04"/>
    <w:rsid w:val="5D2E6280"/>
    <w:rsid w:val="5D6677C8"/>
    <w:rsid w:val="5DED613B"/>
    <w:rsid w:val="5E6A32E8"/>
    <w:rsid w:val="5EFB71CC"/>
    <w:rsid w:val="5F3B38BC"/>
    <w:rsid w:val="5F7F1015"/>
    <w:rsid w:val="613E7799"/>
    <w:rsid w:val="6200643D"/>
    <w:rsid w:val="62312EF8"/>
    <w:rsid w:val="62A96AD4"/>
    <w:rsid w:val="6384309D"/>
    <w:rsid w:val="63A23524"/>
    <w:rsid w:val="640721AA"/>
    <w:rsid w:val="652A5B5F"/>
    <w:rsid w:val="657F3B1C"/>
    <w:rsid w:val="659C092C"/>
    <w:rsid w:val="65C43C25"/>
    <w:rsid w:val="66D954AE"/>
    <w:rsid w:val="67332E10"/>
    <w:rsid w:val="678C0773"/>
    <w:rsid w:val="68804644"/>
    <w:rsid w:val="698F3ABF"/>
    <w:rsid w:val="69DB53BE"/>
    <w:rsid w:val="6AAA163C"/>
    <w:rsid w:val="6AEB57B0"/>
    <w:rsid w:val="6BAD2A66"/>
    <w:rsid w:val="6BF30DC0"/>
    <w:rsid w:val="6CEF1361"/>
    <w:rsid w:val="6D664231"/>
    <w:rsid w:val="6D7823DF"/>
    <w:rsid w:val="6D834437"/>
    <w:rsid w:val="6DB46CBB"/>
    <w:rsid w:val="6E526272"/>
    <w:rsid w:val="6E6623CD"/>
    <w:rsid w:val="6F20011E"/>
    <w:rsid w:val="6F792572"/>
    <w:rsid w:val="6F874638"/>
    <w:rsid w:val="6F887A72"/>
    <w:rsid w:val="6F8A031E"/>
    <w:rsid w:val="6FE86762"/>
    <w:rsid w:val="711772FF"/>
    <w:rsid w:val="713003C1"/>
    <w:rsid w:val="7141437C"/>
    <w:rsid w:val="71663DE2"/>
    <w:rsid w:val="72FA3B9B"/>
    <w:rsid w:val="72FB055A"/>
    <w:rsid w:val="73593BFF"/>
    <w:rsid w:val="73644352"/>
    <w:rsid w:val="73C7661F"/>
    <w:rsid w:val="75A373B3"/>
    <w:rsid w:val="75BF3AC1"/>
    <w:rsid w:val="76960176"/>
    <w:rsid w:val="76F6721A"/>
    <w:rsid w:val="776C1A27"/>
    <w:rsid w:val="783E1615"/>
    <w:rsid w:val="78CA2EA9"/>
    <w:rsid w:val="78D1021F"/>
    <w:rsid w:val="79AB21E7"/>
    <w:rsid w:val="7A0A5C53"/>
    <w:rsid w:val="7A1940E8"/>
    <w:rsid w:val="7A2F7467"/>
    <w:rsid w:val="7ABE2599"/>
    <w:rsid w:val="7AD149C3"/>
    <w:rsid w:val="7B4A0ADE"/>
    <w:rsid w:val="7B4E6013"/>
    <w:rsid w:val="7B5C70B9"/>
    <w:rsid w:val="7C066719"/>
    <w:rsid w:val="7C434C07"/>
    <w:rsid w:val="7D0C7F34"/>
    <w:rsid w:val="7DA168CE"/>
    <w:rsid w:val="7DF905A7"/>
    <w:rsid w:val="7E086FD3"/>
    <w:rsid w:val="7EDE145C"/>
    <w:rsid w:val="7F6A0F42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1980</Words>
  <Characters>2172</Characters>
  <Lines>0</Lines>
  <Paragraphs>0</Paragraphs>
  <TotalTime>2</TotalTime>
  <ScaleCrop>false</ScaleCrop>
  <LinksUpToDate>false</LinksUpToDate>
  <CharactersWithSpaces>2293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2025-10-26T20:33:25Z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