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运维资源应用情况说明</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r>
        <w:rPr>
          <w:rFonts w:hint="eastAsia"/>
          <w:lang w:val="en-US" w:eastAsia="zh-CN"/>
        </w:rPr>
        <w:t>目的</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运维工具应用情况说明</w:t>
      </w:r>
    </w:p>
    <w:p w14:paraId="77D56AA8">
      <w:pPr>
        <w:pStyle w:val="30"/>
        <w:bidi w:val="0"/>
        <w:rPr>
          <w:rFonts w:hint="eastAsia"/>
          <w:lang w:val="en-US" w:eastAsia="zh-CN"/>
        </w:rPr>
      </w:pPr>
      <w:r>
        <w:rPr>
          <w:rFonts w:hint="eastAsia"/>
          <w:lang w:val="en-US" w:eastAsia="zh-CN"/>
        </w:rPr>
        <w:t>过程管理工具</w:t>
      </w:r>
    </w:p>
    <w:p w14:paraId="2E51EBCF">
      <w:pPr>
        <w:pStyle w:val="31"/>
        <w:bidi w:val="0"/>
        <w:rPr>
          <w:rFonts w:hint="eastAsia"/>
          <w:lang w:val="en-US" w:eastAsia="zh-CN"/>
        </w:rPr>
      </w:pPr>
      <w:r>
        <w:rPr>
          <w:rFonts w:hint="eastAsia"/>
          <w:lang w:val="en-US" w:eastAsia="zh-CN"/>
        </w:rPr>
        <w:t>软件名称</w:t>
      </w:r>
    </w:p>
    <w:p w14:paraId="5D65D31D">
      <w:pPr>
        <w:pStyle w:val="29"/>
        <w:rPr>
          <w:rFonts w:hint="default"/>
          <w:lang w:val="en-US" w:eastAsia="zh-CN"/>
        </w:rPr>
      </w:pPr>
      <w:r>
        <w:rPr>
          <w:rFonts w:hint="eastAsia"/>
          <w:lang w:val="en-US" w:eastAsia="zh-CN"/>
        </w:rPr>
        <w:t>禅道项目管理工具</w:t>
      </w:r>
    </w:p>
    <w:p w14:paraId="752D3704">
      <w:pPr>
        <w:pStyle w:val="31"/>
        <w:bidi w:val="0"/>
        <w:rPr>
          <w:rFonts w:hint="default"/>
          <w:lang w:val="en-US" w:eastAsia="zh-CN"/>
        </w:rPr>
      </w:pPr>
      <w:r>
        <w:rPr>
          <w:rFonts w:hint="eastAsia"/>
          <w:lang w:val="en-US" w:eastAsia="zh-CN"/>
        </w:rPr>
        <w:t>软件来源</w:t>
      </w:r>
    </w:p>
    <w:p w14:paraId="47DAD32E">
      <w:pPr>
        <w:pStyle w:val="29"/>
        <w:rPr>
          <w:rFonts w:hint="default"/>
          <w:lang w:val="en-US" w:eastAsia="zh-CN"/>
        </w:rPr>
      </w:pPr>
      <w:r>
        <w:rPr>
          <w:rFonts w:hint="eastAsia"/>
          <w:lang w:val="en-US" w:eastAsia="zh-CN"/>
        </w:rPr>
        <w:t>开源</w:t>
      </w:r>
    </w:p>
    <w:p w14:paraId="39B20E86">
      <w:pPr>
        <w:pStyle w:val="31"/>
        <w:bidi w:val="0"/>
        <w:rPr>
          <w:rFonts w:hint="default"/>
          <w:lang w:val="en-US" w:eastAsia="zh-CN"/>
        </w:rPr>
      </w:pPr>
      <w:r>
        <w:rPr>
          <w:rFonts w:hint="eastAsia"/>
          <w:lang w:val="en-US" w:eastAsia="zh-CN"/>
        </w:rPr>
        <w:t>软件特色</w:t>
      </w:r>
    </w:p>
    <w:p w14:paraId="483A0CDE">
      <w:pPr>
        <w:pStyle w:val="29"/>
        <w:rPr>
          <w:rFonts w:hint="default"/>
          <w:lang w:val="en-US" w:eastAsia="zh-CN"/>
        </w:rPr>
      </w:pPr>
      <w:r>
        <w:rPr>
          <w:rFonts w:hint="default"/>
          <w:lang w:val="en-US" w:eastAsia="zh-CN"/>
        </w:rPr>
        <w:t>定制后的禅道过程管理工具，已从一个通用的项目管理软件，转型为我司运维服务体系的“流程控制器”、“数据中枢”和“协作枢纽”。它通过将制度流程化、流程电子化、数据资产化，有效支撑了运维服务的精细化管理与持续改进，是公司达成并维持ITSS三级认证的核心保障。</w:t>
      </w:r>
    </w:p>
    <w:p w14:paraId="33C3C444">
      <w:pPr>
        <w:pStyle w:val="31"/>
        <w:bidi w:val="0"/>
        <w:rPr>
          <w:rFonts w:hint="default"/>
          <w:lang w:val="en-US" w:eastAsia="zh-CN"/>
        </w:rPr>
      </w:pPr>
      <w:r>
        <w:rPr>
          <w:rFonts w:hint="eastAsia"/>
          <w:lang w:val="en-US" w:eastAsia="zh-CN"/>
        </w:rPr>
        <w:t>功能介绍</w:t>
      </w:r>
    </w:p>
    <w:p w14:paraId="27AD4C1A">
      <w:pPr>
        <w:pStyle w:val="29"/>
        <w:rPr>
          <w:rFonts w:hint="eastAsia"/>
          <w:lang w:val="en-US" w:eastAsia="zh-CN"/>
        </w:rPr>
      </w:pPr>
      <w:r>
        <w:rPr>
          <w:rFonts w:hint="eastAsia"/>
          <w:lang w:val="en-US" w:eastAsia="zh-CN"/>
        </w:rPr>
        <w:t>对项目进行归类管理，同类项目可放到同一个项目集下。看板可展示不同项目的责任人、需求处理情况等信息。如图2-1所示</w:t>
      </w:r>
    </w:p>
    <w:p w14:paraId="76A87CA1">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w:instrText>
      </w:r>
      <w:r>
        <w:rPr>
          <w:rFonts w:hint="eastAsia"/>
          <w:lang w:val="en-US" w:eastAsia="zh-CN"/>
        </w:rPr>
        <w:instrText xml:space="preserve">STYLEREF "柴_标题1" \n \* Charformat</w:instrText>
      </w:r>
      <w:r>
        <w:rPr>
          <w:rFonts w:hint="eastAsia"/>
          <w:lang w:val="en-US" w:eastAsia="zh-CN"/>
        </w:rPr>
        <w:instrText xml:space="preserve">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w:instrText>
      </w:r>
      <w:r>
        <w:rPr>
          <w:rFonts w:hint="eastAsia"/>
          <w:lang w:val="en-US" w:eastAsia="zh-CN"/>
        </w:rPr>
        <w:instrText xml:space="preserve">  SEQ 图 \* ARABIC  \s 1</w:instrText>
      </w:r>
      <w:r>
        <w:rPr>
          <w:rFonts w:hint="eastAsia"/>
          <w:lang w:val="en-US" w:eastAsia="zh-CN"/>
        </w:rPr>
        <w:instrText xml:space="preserve">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项目集看板</w:t>
      </w:r>
    </w:p>
    <w:p w14:paraId="4D85FCAF">
      <w:pPr>
        <w:pStyle w:val="29"/>
      </w:pPr>
      <w:r>
        <w:drawing>
          <wp:inline distT="0" distB="0" distL="114300" distR="114300">
            <wp:extent cx="5265420" cy="2000250"/>
            <wp:effectExtent l="0" t="0" r="1143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5420" cy="2000250"/>
                    </a:xfrm>
                    <a:prstGeom prst="rect">
                      <a:avLst/>
                    </a:prstGeom>
                    <a:noFill/>
                    <a:ln>
                      <a:noFill/>
                    </a:ln>
                  </pic:spPr>
                </pic:pic>
              </a:graphicData>
            </a:graphic>
          </wp:inline>
        </w:drawing>
      </w:r>
    </w:p>
    <w:p w14:paraId="446F560B">
      <w:pPr>
        <w:pStyle w:val="29"/>
      </w:pPr>
    </w:p>
    <w:p w14:paraId="2F1B7013">
      <w:pPr>
        <w:pStyle w:val="29"/>
        <w:rPr>
          <w:rFonts w:hint="eastAsia"/>
          <w:lang w:val="en-US" w:eastAsia="zh-CN"/>
        </w:rPr>
      </w:pPr>
      <w:r>
        <w:rPr>
          <w:rFonts w:hint="eastAsia"/>
          <w:lang w:val="en-US" w:eastAsia="zh-CN"/>
        </w:rPr>
        <w:t>通过项目集看板，可视化查看处于不同状态中的项目，如图2-2所示</w:t>
      </w:r>
    </w:p>
    <w:p w14:paraId="29E8CC5A">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项目集-项目状态</w:t>
      </w:r>
    </w:p>
    <w:p w14:paraId="59BBE52C">
      <w:pPr>
        <w:pStyle w:val="29"/>
      </w:pPr>
      <w:r>
        <w:drawing>
          <wp:inline distT="0" distB="0" distL="114300" distR="114300">
            <wp:extent cx="5267960" cy="1972310"/>
            <wp:effectExtent l="0" t="0" r="889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7960" cy="1972310"/>
                    </a:xfrm>
                    <a:prstGeom prst="rect">
                      <a:avLst/>
                    </a:prstGeom>
                    <a:noFill/>
                    <a:ln>
                      <a:noFill/>
                    </a:ln>
                  </pic:spPr>
                </pic:pic>
              </a:graphicData>
            </a:graphic>
          </wp:inline>
        </w:drawing>
      </w:r>
    </w:p>
    <w:p w14:paraId="0F2A6098">
      <w:pPr>
        <w:pStyle w:val="29"/>
        <w:rPr>
          <w:rFonts w:hint="eastAsia"/>
          <w:lang w:val="en-US" w:eastAsia="zh-CN"/>
        </w:rPr>
      </w:pPr>
      <w:r>
        <w:rPr>
          <w:rFonts w:hint="eastAsia"/>
          <w:lang w:val="en-US" w:eastAsia="zh-CN"/>
        </w:rPr>
        <w:t>支持多种项目管理模型可供选择，包含Scurm模型、瀑布、看板、融合瀑布等。如图2-3所示。</w:t>
      </w:r>
    </w:p>
    <w:p w14:paraId="0F787450">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项目模型选择</w:t>
      </w:r>
    </w:p>
    <w:p w14:paraId="7C231F09">
      <w:pPr>
        <w:pStyle w:val="29"/>
        <w:ind w:left="0" w:leftChars="0" w:right="0" w:rightChars="0" w:firstLine="0" w:firstLineChars="0"/>
        <w:jc w:val="center"/>
        <w:rPr>
          <w:rFonts w:hint="default"/>
          <w:lang w:val="en-US" w:eastAsia="zh-CN"/>
        </w:rPr>
      </w:pPr>
      <w:r>
        <w:drawing>
          <wp:inline distT="0" distB="0" distL="114300" distR="114300">
            <wp:extent cx="5269865" cy="3092450"/>
            <wp:effectExtent l="0" t="0" r="6985" b="1270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269865" cy="3092450"/>
                    </a:xfrm>
                    <a:prstGeom prst="rect">
                      <a:avLst/>
                    </a:prstGeom>
                    <a:noFill/>
                    <a:ln>
                      <a:noFill/>
                    </a:ln>
                  </pic:spPr>
                </pic:pic>
              </a:graphicData>
            </a:graphic>
          </wp:inline>
        </w:drawing>
      </w:r>
    </w:p>
    <w:p w14:paraId="12B6771B">
      <w:pPr>
        <w:pStyle w:val="29"/>
        <w:rPr>
          <w:rFonts w:hint="eastAsia"/>
          <w:lang w:val="en-US" w:eastAsia="zh-CN"/>
        </w:rPr>
      </w:pPr>
      <w:r>
        <w:rPr>
          <w:rFonts w:hint="eastAsia"/>
          <w:lang w:val="en-US" w:eastAsia="zh-CN"/>
        </w:rPr>
        <w:t>产品作为项目的交付物，属于目标层面的管理。如图2-4所示</w:t>
      </w:r>
    </w:p>
    <w:p w14:paraId="0ED0E94A">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产品列表</w:t>
      </w:r>
    </w:p>
    <w:p w14:paraId="00482091">
      <w:pPr>
        <w:pStyle w:val="29"/>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7960" cy="1371600"/>
            <wp:effectExtent l="0" t="0" r="8890" b="0"/>
            <wp:docPr id="6" name="图片 6" descr="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产品"/>
                    <pic:cNvPicPr>
                      <a:picLocks noChangeAspect="1"/>
                    </pic:cNvPicPr>
                  </pic:nvPicPr>
                  <pic:blipFill>
                    <a:blip r:embed="rId11"/>
                    <a:stretch>
                      <a:fillRect/>
                    </a:stretch>
                  </pic:blipFill>
                  <pic:spPr>
                    <a:xfrm>
                      <a:off x="0" y="0"/>
                      <a:ext cx="5267960" cy="1371600"/>
                    </a:xfrm>
                    <a:prstGeom prst="rect">
                      <a:avLst/>
                    </a:prstGeom>
                  </pic:spPr>
                </pic:pic>
              </a:graphicData>
            </a:graphic>
          </wp:inline>
        </w:drawing>
      </w:r>
    </w:p>
    <w:p w14:paraId="2CC62918">
      <w:pPr>
        <w:pStyle w:val="29"/>
        <w:bidi w:val="0"/>
        <w:rPr>
          <w:rFonts w:hint="eastAsia"/>
          <w:lang w:val="en-US" w:eastAsia="zh-CN"/>
        </w:rPr>
      </w:pPr>
      <w:r>
        <w:rPr>
          <w:rFonts w:hint="eastAsia"/>
          <w:lang w:val="en-US" w:eastAsia="zh-CN"/>
        </w:rPr>
        <w:t>执行列表是技术人员用于完成任务、质量验证、解决BUG。如图2-5所示</w:t>
      </w:r>
    </w:p>
    <w:p w14:paraId="73A4953A">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执行列表</w:t>
      </w:r>
    </w:p>
    <w:p w14:paraId="0B9AA0E9">
      <w:pPr>
        <w:pStyle w:val="29"/>
        <w:ind w:left="0" w:leftChars="0" w:right="0" w:rightChars="0" w:firstLine="0" w:firstLineChars="0"/>
        <w:jc w:val="center"/>
        <w:rPr>
          <w:rFonts w:hint="eastAsia"/>
          <w:lang w:val="en-US" w:eastAsia="zh-CN"/>
        </w:rPr>
      </w:pPr>
      <w:r>
        <w:drawing>
          <wp:inline distT="0" distB="0" distL="114300" distR="114300">
            <wp:extent cx="5265420" cy="1965325"/>
            <wp:effectExtent l="0" t="0" r="11430" b="158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65420" cy="1965325"/>
                    </a:xfrm>
                    <a:prstGeom prst="rect">
                      <a:avLst/>
                    </a:prstGeom>
                    <a:noFill/>
                    <a:ln>
                      <a:noFill/>
                    </a:ln>
                  </pic:spPr>
                </pic:pic>
              </a:graphicData>
            </a:graphic>
          </wp:inline>
        </w:drawing>
      </w:r>
    </w:p>
    <w:p w14:paraId="142ACCAF">
      <w:pPr>
        <w:pStyle w:val="29"/>
        <w:bidi w:val="0"/>
        <w:rPr>
          <w:rFonts w:hint="eastAsia"/>
          <w:lang w:val="en-US" w:eastAsia="zh-CN"/>
        </w:rPr>
      </w:pPr>
      <w:r>
        <w:rPr>
          <w:rFonts w:hint="eastAsia"/>
          <w:lang w:val="en-US" w:eastAsia="zh-CN"/>
        </w:rPr>
        <w:t>支持项目集创建，如图2-6所示</w:t>
      </w:r>
    </w:p>
    <w:p w14:paraId="4193B6C9">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创建项目集</w:t>
      </w:r>
    </w:p>
    <w:p w14:paraId="5E0B1B12">
      <w:pPr>
        <w:pStyle w:val="29"/>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73675" cy="1743710"/>
            <wp:effectExtent l="0" t="0" r="3175" b="8890"/>
            <wp:docPr id="9" name="图片 9" descr="创建项目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创建项目集"/>
                    <pic:cNvPicPr>
                      <a:picLocks noChangeAspect="1"/>
                    </pic:cNvPicPr>
                  </pic:nvPicPr>
                  <pic:blipFill>
                    <a:blip r:embed="rId13"/>
                    <a:stretch>
                      <a:fillRect/>
                    </a:stretch>
                  </pic:blipFill>
                  <pic:spPr>
                    <a:xfrm>
                      <a:off x="0" y="0"/>
                      <a:ext cx="5273675" cy="1743710"/>
                    </a:xfrm>
                    <a:prstGeom prst="rect">
                      <a:avLst/>
                    </a:prstGeom>
                  </pic:spPr>
                </pic:pic>
              </a:graphicData>
            </a:graphic>
          </wp:inline>
        </w:drawing>
      </w:r>
    </w:p>
    <w:p w14:paraId="5A5670E5">
      <w:pPr>
        <w:pStyle w:val="29"/>
        <w:bidi w:val="0"/>
        <w:rPr>
          <w:rFonts w:hint="eastAsia"/>
          <w:lang w:val="en-US" w:eastAsia="zh-CN"/>
        </w:rPr>
      </w:pPr>
      <w:r>
        <w:rPr>
          <w:rFonts w:hint="eastAsia"/>
          <w:lang w:val="en-US" w:eastAsia="zh-CN"/>
        </w:rPr>
        <w:t>产品看板用于查看负责的产品进度情况，如图2-7所示</w:t>
      </w:r>
    </w:p>
    <w:p w14:paraId="2E78643D">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产品看板</w:t>
      </w:r>
    </w:p>
    <w:p w14:paraId="743278CF">
      <w:pPr>
        <w:pStyle w:val="29"/>
        <w:bidi w:val="0"/>
        <w:ind w:left="0" w:leftChars="0" w:firstLine="0" w:firstLineChars="0"/>
      </w:pPr>
      <w:r>
        <w:drawing>
          <wp:inline distT="0" distB="0" distL="114300" distR="114300">
            <wp:extent cx="5269865" cy="2063115"/>
            <wp:effectExtent l="0" t="0" r="6985" b="133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5269865" cy="2063115"/>
                    </a:xfrm>
                    <a:prstGeom prst="rect">
                      <a:avLst/>
                    </a:prstGeom>
                    <a:noFill/>
                    <a:ln>
                      <a:noFill/>
                    </a:ln>
                  </pic:spPr>
                </pic:pic>
              </a:graphicData>
            </a:graphic>
          </wp:inline>
        </w:drawing>
      </w:r>
    </w:p>
    <w:p w14:paraId="638F33BF">
      <w:pPr>
        <w:pStyle w:val="31"/>
        <w:bidi w:val="0"/>
        <w:rPr>
          <w:rFonts w:hint="default" w:eastAsia="宋体"/>
          <w:lang w:val="en-US" w:eastAsia="zh-CN"/>
        </w:rPr>
      </w:pPr>
      <w:r>
        <w:rPr>
          <w:rFonts w:hint="eastAsia"/>
          <w:lang w:val="en-US" w:eastAsia="zh-CN"/>
        </w:rPr>
        <w:t>工具应用情况说明</w:t>
      </w:r>
    </w:p>
    <w:p w14:paraId="20BC67ED">
      <w:pPr>
        <w:pStyle w:val="30"/>
        <w:bidi w:val="0"/>
        <w:rPr>
          <w:rFonts w:hint="default"/>
          <w:lang w:val="en-US" w:eastAsia="zh-CN"/>
        </w:rPr>
      </w:pPr>
      <w:r>
        <w:rPr>
          <w:rFonts w:hint="eastAsia"/>
          <w:lang w:val="en-US" w:eastAsia="zh-CN"/>
        </w:rPr>
        <w:t>监控工具</w:t>
      </w:r>
    </w:p>
    <w:p w14:paraId="035D3C44">
      <w:pPr>
        <w:pStyle w:val="31"/>
        <w:bidi w:val="0"/>
        <w:rPr>
          <w:rFonts w:hint="eastAsia"/>
          <w:lang w:val="en-US" w:eastAsia="zh-CN"/>
        </w:rPr>
      </w:pPr>
      <w:r>
        <w:rPr>
          <w:rFonts w:hint="eastAsia"/>
          <w:lang w:val="en-US" w:eastAsia="zh-CN"/>
        </w:rPr>
        <w:t>软件名称</w:t>
      </w:r>
    </w:p>
    <w:p w14:paraId="2E7D3770">
      <w:pPr>
        <w:pStyle w:val="29"/>
        <w:rPr>
          <w:rFonts w:hint="default"/>
          <w:lang w:val="en-US" w:eastAsia="zh-CN"/>
        </w:rPr>
      </w:pPr>
      <w:r>
        <w:rPr>
          <w:rFonts w:hint="default"/>
          <w:lang w:val="en-US" w:eastAsia="zh-CN"/>
        </w:rPr>
        <w:t>Grafana</w:t>
      </w:r>
      <w:r>
        <w:rPr>
          <w:rFonts w:hint="eastAsia"/>
          <w:lang w:val="en-US" w:eastAsia="zh-CN"/>
        </w:rPr>
        <w:t>性能监控软件</w:t>
      </w:r>
    </w:p>
    <w:p w14:paraId="05F782D7">
      <w:pPr>
        <w:pStyle w:val="31"/>
        <w:bidi w:val="0"/>
        <w:rPr>
          <w:rFonts w:hint="eastAsia"/>
          <w:lang w:val="en-US" w:eastAsia="zh-CN"/>
        </w:rPr>
      </w:pPr>
      <w:r>
        <w:rPr>
          <w:rFonts w:hint="eastAsia"/>
          <w:lang w:val="en-US" w:eastAsia="zh-CN"/>
        </w:rPr>
        <w:t>软件来源</w:t>
      </w:r>
    </w:p>
    <w:p w14:paraId="1283CD2D">
      <w:pPr>
        <w:pStyle w:val="29"/>
        <w:rPr>
          <w:rFonts w:hint="default"/>
          <w:lang w:val="en-US" w:eastAsia="zh-CN"/>
        </w:rPr>
      </w:pPr>
      <w:r>
        <w:rPr>
          <w:rFonts w:hint="eastAsia"/>
          <w:lang w:val="en-US" w:eastAsia="zh-CN"/>
        </w:rPr>
        <w:t>开源</w:t>
      </w:r>
    </w:p>
    <w:p w14:paraId="7F661E41">
      <w:pPr>
        <w:pStyle w:val="31"/>
        <w:bidi w:val="0"/>
        <w:rPr>
          <w:rFonts w:hint="eastAsia"/>
          <w:lang w:val="en-US" w:eastAsia="zh-CN"/>
        </w:rPr>
      </w:pPr>
      <w:r>
        <w:rPr>
          <w:rFonts w:hint="eastAsia"/>
          <w:lang w:val="en-US" w:eastAsia="zh-CN"/>
        </w:rPr>
        <w:t>软件特色</w:t>
      </w:r>
    </w:p>
    <w:p w14:paraId="70D0B8C5">
      <w:pPr>
        <w:pStyle w:val="29"/>
        <w:rPr>
          <w:rFonts w:hint="eastAsia"/>
          <w:lang w:val="en-US" w:eastAsia="zh-CN"/>
        </w:rPr>
      </w:pPr>
      <w:r>
        <w:rPr>
          <w:rFonts w:hint="eastAsia" w:cs="宋体"/>
          <w:sz w:val="24"/>
          <w:lang w:val="en-US" w:eastAsia="zh-CN"/>
        </w:rPr>
        <w:t>Grafana能够将数据进行可视化展示和定制，用户可以全面监控系统和服务的状态、性能和健康情况，并及时发现和解决问题。该款运维监控工具强大的监控和告警功能大大的增强了公司对运维业务的管控，提升了客户满意度</w:t>
      </w:r>
      <w:r>
        <w:rPr>
          <w:rFonts w:hint="eastAsia" w:cs="宋体"/>
          <w:sz w:val="24"/>
          <w:lang w:eastAsia="zh-CN"/>
        </w:rPr>
        <w:t>。</w:t>
      </w:r>
    </w:p>
    <w:p w14:paraId="178B12BA">
      <w:pPr>
        <w:pStyle w:val="31"/>
        <w:bidi w:val="0"/>
        <w:rPr>
          <w:rFonts w:hint="eastAsia"/>
          <w:lang w:val="en-US" w:eastAsia="zh-CN"/>
        </w:rPr>
      </w:pPr>
      <w:r>
        <w:rPr>
          <w:rFonts w:hint="eastAsia"/>
          <w:lang w:val="en-US" w:eastAsia="zh-CN"/>
        </w:rPr>
        <w:t>功能介绍</w:t>
      </w:r>
    </w:p>
    <w:p w14:paraId="5A7F1ACA">
      <w:pPr>
        <w:pStyle w:val="29"/>
        <w:rPr>
          <w:rFonts w:hint="default"/>
          <w:lang w:val="en-US" w:eastAsia="zh-CN"/>
        </w:rPr>
      </w:pPr>
      <w:r>
        <w:rPr>
          <w:rFonts w:hint="eastAsia"/>
          <w:lang w:val="en-US" w:eastAsia="zh-CN"/>
        </w:rPr>
        <w:t>可用于监测内存使用率、硬盘使用率、磁盘使用率等服务器监控指标，如图2-8所示</w:t>
      </w:r>
    </w:p>
    <w:p w14:paraId="6D64E109">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服务器监控指标</w:t>
      </w:r>
    </w:p>
    <w:p w14:paraId="360DADE4">
      <w:pPr>
        <w:pStyle w:val="29"/>
        <w:ind w:left="0" w:leftChars="0" w:right="0" w:rightChars="0" w:firstLine="0" w:firstLineChars="0"/>
        <w:jc w:val="center"/>
      </w:pPr>
      <w:r>
        <w:drawing>
          <wp:inline distT="0" distB="0" distL="114300" distR="114300">
            <wp:extent cx="4001770" cy="1953260"/>
            <wp:effectExtent l="0" t="0" r="17780" b="889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4001770" cy="1953260"/>
                    </a:xfrm>
                    <a:prstGeom prst="rect">
                      <a:avLst/>
                    </a:prstGeom>
                    <a:noFill/>
                    <a:ln>
                      <a:noFill/>
                    </a:ln>
                  </pic:spPr>
                </pic:pic>
              </a:graphicData>
            </a:graphic>
          </wp:inline>
        </w:drawing>
      </w:r>
    </w:p>
    <w:p w14:paraId="05CE6454">
      <w:pPr>
        <w:pStyle w:val="29"/>
        <w:bidi w:val="0"/>
        <w:rPr>
          <w:rFonts w:hint="eastAsia"/>
          <w:lang w:val="en-US" w:eastAsia="zh-CN"/>
        </w:rPr>
      </w:pPr>
      <w:r>
        <w:rPr>
          <w:rFonts w:hint="eastAsia"/>
          <w:lang w:val="en-US" w:eastAsia="zh-CN"/>
        </w:rPr>
        <w:t>Nginx流量监控，如图2-9所示</w:t>
      </w:r>
    </w:p>
    <w:p w14:paraId="2602B7F8">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nginx监控指标</w:t>
      </w:r>
    </w:p>
    <w:p w14:paraId="0C34C654">
      <w:pPr>
        <w:pStyle w:val="29"/>
        <w:ind w:left="0" w:leftChars="0" w:right="0" w:rightChars="0" w:firstLine="0" w:firstLineChars="0"/>
        <w:jc w:val="center"/>
      </w:pPr>
      <w:r>
        <w:drawing>
          <wp:inline distT="0" distB="0" distL="114300" distR="114300">
            <wp:extent cx="5271135" cy="2663190"/>
            <wp:effectExtent l="0" t="0" r="5715" b="381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6"/>
                    <a:stretch>
                      <a:fillRect/>
                    </a:stretch>
                  </pic:blipFill>
                  <pic:spPr>
                    <a:xfrm>
                      <a:off x="0" y="0"/>
                      <a:ext cx="5271135" cy="2663190"/>
                    </a:xfrm>
                    <a:prstGeom prst="rect">
                      <a:avLst/>
                    </a:prstGeom>
                    <a:noFill/>
                    <a:ln>
                      <a:noFill/>
                    </a:ln>
                  </pic:spPr>
                </pic:pic>
              </a:graphicData>
            </a:graphic>
          </wp:inline>
        </w:drawing>
      </w:r>
    </w:p>
    <w:p w14:paraId="6745729D">
      <w:pPr>
        <w:pStyle w:val="29"/>
        <w:bidi w:val="0"/>
        <w:rPr>
          <w:rFonts w:hint="eastAsia"/>
          <w:lang w:val="en-US" w:eastAsia="zh-CN"/>
        </w:rPr>
      </w:pPr>
      <w:r>
        <w:rPr>
          <w:rFonts w:hint="eastAsia"/>
          <w:lang w:val="en-US" w:eastAsia="zh-CN"/>
        </w:rPr>
        <w:t>http面板监控，无需加载任何代码和程序即可实时监控数据和统计分析，如图2-10所示</w:t>
      </w:r>
    </w:p>
    <w:p w14:paraId="4F81FF75">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Http面板监控</w:t>
      </w:r>
    </w:p>
    <w:p w14:paraId="6A9D5099">
      <w:pPr>
        <w:pStyle w:val="29"/>
        <w:ind w:left="0" w:leftChars="0" w:right="0" w:rightChars="0" w:firstLine="0" w:firstLineChars="0"/>
        <w:jc w:val="center"/>
        <w:rPr>
          <w:rFonts w:hint="default"/>
          <w:lang w:val="en-US" w:eastAsia="zh-CN"/>
        </w:rPr>
      </w:pPr>
      <w:r>
        <w:drawing>
          <wp:inline distT="0" distB="0" distL="114300" distR="114300">
            <wp:extent cx="5267325" cy="2094230"/>
            <wp:effectExtent l="0" t="0" r="9525" b="127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7"/>
                    <a:stretch>
                      <a:fillRect/>
                    </a:stretch>
                  </pic:blipFill>
                  <pic:spPr>
                    <a:xfrm>
                      <a:off x="0" y="0"/>
                      <a:ext cx="5267325" cy="2094230"/>
                    </a:xfrm>
                    <a:prstGeom prst="rect">
                      <a:avLst/>
                    </a:prstGeom>
                    <a:noFill/>
                    <a:ln>
                      <a:noFill/>
                    </a:ln>
                  </pic:spPr>
                </pic:pic>
              </a:graphicData>
            </a:graphic>
          </wp:inline>
        </w:drawing>
      </w:r>
      <w:r>
        <w:drawing>
          <wp:inline distT="0" distB="0" distL="114300" distR="114300">
            <wp:extent cx="5271135" cy="2085340"/>
            <wp:effectExtent l="0" t="0" r="5715" b="1016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8"/>
                    <a:stretch>
                      <a:fillRect/>
                    </a:stretch>
                  </pic:blipFill>
                  <pic:spPr>
                    <a:xfrm>
                      <a:off x="0" y="0"/>
                      <a:ext cx="5271135" cy="2085340"/>
                    </a:xfrm>
                    <a:prstGeom prst="rect">
                      <a:avLst/>
                    </a:prstGeom>
                    <a:noFill/>
                    <a:ln>
                      <a:noFill/>
                    </a:ln>
                  </pic:spPr>
                </pic:pic>
              </a:graphicData>
            </a:graphic>
          </wp:inline>
        </w:drawing>
      </w:r>
    </w:p>
    <w:p w14:paraId="4A4CFF55">
      <w:pPr>
        <w:pStyle w:val="29"/>
        <w:ind w:left="0" w:leftChars="0" w:right="0" w:rightChars="0" w:firstLine="0" w:firstLineChars="0"/>
        <w:jc w:val="center"/>
        <w:rPr>
          <w:rFonts w:hint="eastAsia"/>
          <w:lang w:val="en-US" w:eastAsia="zh-CN"/>
        </w:rPr>
      </w:pPr>
      <w:r>
        <w:drawing>
          <wp:inline distT="0" distB="0" distL="114300" distR="114300">
            <wp:extent cx="5261610" cy="2030730"/>
            <wp:effectExtent l="0" t="0" r="15240" b="762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9"/>
                    <a:stretch>
                      <a:fillRect/>
                    </a:stretch>
                  </pic:blipFill>
                  <pic:spPr>
                    <a:xfrm>
                      <a:off x="0" y="0"/>
                      <a:ext cx="5261610" cy="2030730"/>
                    </a:xfrm>
                    <a:prstGeom prst="rect">
                      <a:avLst/>
                    </a:prstGeom>
                    <a:noFill/>
                    <a:ln>
                      <a:noFill/>
                    </a:ln>
                  </pic:spPr>
                </pic:pic>
              </a:graphicData>
            </a:graphic>
          </wp:inline>
        </w:drawing>
      </w:r>
    </w:p>
    <w:p w14:paraId="7AA215DF">
      <w:pPr>
        <w:pStyle w:val="29"/>
        <w:bidi w:val="0"/>
        <w:rPr>
          <w:rFonts w:hint="eastAsia"/>
          <w:lang w:val="en-US" w:eastAsia="zh-CN"/>
        </w:rPr>
      </w:pPr>
      <w:r>
        <w:rPr>
          <w:rFonts w:hint="eastAsia"/>
          <w:lang w:val="en-US" w:eastAsia="zh-CN"/>
        </w:rPr>
        <w:t>系统进程监控，可监控系统中的任何类型的进程。避免系统进程的异常终止，提高工作效率，如图2-11所示</w:t>
      </w:r>
    </w:p>
    <w:p w14:paraId="4591AFBC">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系统进程监控</w:t>
      </w:r>
    </w:p>
    <w:p w14:paraId="3E08BAB2">
      <w:pPr>
        <w:pStyle w:val="29"/>
        <w:ind w:left="0" w:leftChars="0" w:right="0" w:rightChars="0" w:firstLine="0" w:firstLineChars="0"/>
        <w:jc w:val="center"/>
      </w:pPr>
      <w:r>
        <w:drawing>
          <wp:inline distT="0" distB="0" distL="114300" distR="114300">
            <wp:extent cx="5262245" cy="3233420"/>
            <wp:effectExtent l="0" t="0" r="14605" b="508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0"/>
                    <a:stretch>
                      <a:fillRect/>
                    </a:stretch>
                  </pic:blipFill>
                  <pic:spPr>
                    <a:xfrm>
                      <a:off x="0" y="0"/>
                      <a:ext cx="5262245" cy="3233420"/>
                    </a:xfrm>
                    <a:prstGeom prst="rect">
                      <a:avLst/>
                    </a:prstGeom>
                    <a:noFill/>
                    <a:ln>
                      <a:noFill/>
                    </a:ln>
                  </pic:spPr>
                </pic:pic>
              </a:graphicData>
            </a:graphic>
          </wp:inline>
        </w:drawing>
      </w:r>
      <w:r>
        <w:drawing>
          <wp:inline distT="0" distB="0" distL="114300" distR="114300">
            <wp:extent cx="5267325" cy="2462530"/>
            <wp:effectExtent l="0" t="0" r="9525" b="1397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1"/>
                    <a:stretch>
                      <a:fillRect/>
                    </a:stretch>
                  </pic:blipFill>
                  <pic:spPr>
                    <a:xfrm>
                      <a:off x="0" y="0"/>
                      <a:ext cx="5267325" cy="2462530"/>
                    </a:xfrm>
                    <a:prstGeom prst="rect">
                      <a:avLst/>
                    </a:prstGeom>
                    <a:noFill/>
                    <a:ln>
                      <a:noFill/>
                    </a:ln>
                  </pic:spPr>
                </pic:pic>
              </a:graphicData>
            </a:graphic>
          </wp:inline>
        </w:drawing>
      </w:r>
    </w:p>
    <w:p w14:paraId="3B92A9D8">
      <w:pPr>
        <w:pStyle w:val="29"/>
        <w:bidi w:val="0"/>
        <w:rPr>
          <w:rFonts w:hint="eastAsia"/>
          <w:lang w:val="en-US" w:eastAsia="zh-CN"/>
        </w:rPr>
      </w:pPr>
      <w:r>
        <w:rPr>
          <w:rFonts w:hint="eastAsia"/>
          <w:lang w:val="en-US" w:eastAsia="zh-CN"/>
        </w:rPr>
        <w:t>支持服务监控，能够直观的展示出服务的CPU利用率、分区使用率、带宽等信息。如图2-12所示</w:t>
      </w:r>
    </w:p>
    <w:p w14:paraId="23A8C10C">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服务监控看板</w:t>
      </w:r>
    </w:p>
    <w:p w14:paraId="19A2D6E5">
      <w:pPr>
        <w:pStyle w:val="29"/>
        <w:ind w:left="0" w:leftChars="0" w:right="0" w:rightChars="0" w:firstLine="0" w:firstLineChars="0"/>
        <w:jc w:val="center"/>
        <w:rPr>
          <w:rFonts w:hint="default"/>
          <w:lang w:val="en-US" w:eastAsia="zh-CN"/>
        </w:rPr>
      </w:pPr>
      <w:r>
        <w:drawing>
          <wp:inline distT="0" distB="0" distL="114300" distR="114300">
            <wp:extent cx="5268595" cy="1277620"/>
            <wp:effectExtent l="0" t="0" r="8255" b="1778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2"/>
                    <a:stretch>
                      <a:fillRect/>
                    </a:stretch>
                  </pic:blipFill>
                  <pic:spPr>
                    <a:xfrm>
                      <a:off x="0" y="0"/>
                      <a:ext cx="5268595" cy="1277620"/>
                    </a:xfrm>
                    <a:prstGeom prst="rect">
                      <a:avLst/>
                    </a:prstGeom>
                    <a:noFill/>
                    <a:ln>
                      <a:noFill/>
                    </a:ln>
                  </pic:spPr>
                </pic:pic>
              </a:graphicData>
            </a:graphic>
          </wp:inline>
        </w:drawing>
      </w:r>
    </w:p>
    <w:p w14:paraId="3D23AF45">
      <w:pPr>
        <w:pStyle w:val="29"/>
        <w:bidi w:val="0"/>
        <w:rPr>
          <w:rFonts w:hint="eastAsia"/>
          <w:lang w:val="en-US" w:eastAsia="zh-CN"/>
        </w:rPr>
      </w:pPr>
      <w:r>
        <w:rPr>
          <w:rFonts w:hint="eastAsia"/>
          <w:lang w:val="en-US" w:eastAsia="zh-CN"/>
        </w:rPr>
        <w:t>监控数据支持以折线图方式进行展示，更加直观的表现新能变动情况，如图2-13所示</w:t>
      </w:r>
    </w:p>
    <w:p w14:paraId="422F733C">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服务监控看板</w:t>
      </w:r>
    </w:p>
    <w:p w14:paraId="04D5F634">
      <w:pPr>
        <w:pStyle w:val="29"/>
        <w:bidi w:val="0"/>
        <w:ind w:left="0" w:leftChars="0" w:firstLine="0" w:firstLineChars="0"/>
      </w:pPr>
      <w:r>
        <w:drawing>
          <wp:inline distT="0" distB="0" distL="114300" distR="114300">
            <wp:extent cx="5269230" cy="2214245"/>
            <wp:effectExtent l="0" t="0" r="7620" b="1460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3"/>
                    <a:stretch>
                      <a:fillRect/>
                    </a:stretch>
                  </pic:blipFill>
                  <pic:spPr>
                    <a:xfrm>
                      <a:off x="0" y="0"/>
                      <a:ext cx="5269230" cy="2214245"/>
                    </a:xfrm>
                    <a:prstGeom prst="rect">
                      <a:avLst/>
                    </a:prstGeom>
                    <a:noFill/>
                    <a:ln>
                      <a:noFill/>
                    </a:ln>
                  </pic:spPr>
                </pic:pic>
              </a:graphicData>
            </a:graphic>
          </wp:inline>
        </w:drawing>
      </w:r>
    </w:p>
    <w:p w14:paraId="6134B141">
      <w:pPr>
        <w:pStyle w:val="29"/>
        <w:bidi w:val="0"/>
        <w:ind w:left="0" w:leftChars="0" w:firstLine="0" w:firstLineChars="0"/>
        <w:rPr>
          <w:rFonts w:hint="eastAsia"/>
          <w:lang w:val="en-US" w:eastAsia="zh-CN"/>
        </w:rPr>
      </w:pPr>
      <w:r>
        <w:rPr>
          <w:rFonts w:hint="eastAsia"/>
          <w:lang w:val="en-US" w:eastAsia="zh-CN"/>
        </w:rPr>
        <w:t>服务监控看板，可宏观查看总体运行情况，如图2-14所示</w:t>
      </w:r>
    </w:p>
    <w:p w14:paraId="54964E91">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服务监控看板宏观展示</w:t>
      </w:r>
    </w:p>
    <w:p w14:paraId="4B0E3B73">
      <w:pPr>
        <w:pStyle w:val="29"/>
        <w:ind w:left="0" w:leftChars="0" w:right="0" w:rightChars="0" w:firstLine="0" w:firstLineChars="0"/>
        <w:jc w:val="center"/>
        <w:rPr>
          <w:rFonts w:hint="default"/>
          <w:lang w:val="en-US" w:eastAsia="zh-CN"/>
        </w:rPr>
      </w:pPr>
      <w:r>
        <w:drawing>
          <wp:inline distT="0" distB="0" distL="114300" distR="114300">
            <wp:extent cx="5262245" cy="2217420"/>
            <wp:effectExtent l="0" t="0" r="14605" b="1143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4"/>
                    <a:stretch>
                      <a:fillRect/>
                    </a:stretch>
                  </pic:blipFill>
                  <pic:spPr>
                    <a:xfrm>
                      <a:off x="0" y="0"/>
                      <a:ext cx="5262245" cy="2217420"/>
                    </a:xfrm>
                    <a:prstGeom prst="rect">
                      <a:avLst/>
                    </a:prstGeom>
                    <a:noFill/>
                    <a:ln>
                      <a:noFill/>
                    </a:ln>
                  </pic:spPr>
                </pic:pic>
              </a:graphicData>
            </a:graphic>
          </wp:inline>
        </w:drawing>
      </w:r>
    </w:p>
    <w:p w14:paraId="3CB5286D">
      <w:pPr>
        <w:pStyle w:val="29"/>
        <w:bidi w:val="0"/>
        <w:ind w:left="0" w:leftChars="0" w:firstLine="0" w:firstLineChars="0"/>
        <w:rPr>
          <w:rFonts w:hint="default"/>
          <w:lang w:val="en-US" w:eastAsia="zh-CN"/>
        </w:rPr>
      </w:pPr>
    </w:p>
    <w:p w14:paraId="772F0F9B">
      <w:pPr>
        <w:pStyle w:val="30"/>
        <w:bidi w:val="0"/>
        <w:rPr>
          <w:rFonts w:hint="eastAsia"/>
          <w:lang w:val="en-US" w:eastAsia="zh-CN"/>
        </w:rPr>
      </w:pPr>
      <w:r>
        <w:rPr>
          <w:rFonts w:hint="eastAsia"/>
          <w:lang w:val="en-US" w:eastAsia="zh-CN"/>
        </w:rPr>
        <w:t>工具应用情况说明</w:t>
      </w:r>
    </w:p>
    <w:p w14:paraId="3169A613">
      <w:pPr>
        <w:pStyle w:val="29"/>
        <w:rPr>
          <w:rFonts w:hint="eastAsia"/>
          <w:lang w:val="en-US" w:eastAsia="zh-CN"/>
        </w:rPr>
      </w:pPr>
      <w:r>
        <w:rPr>
          <w:rFonts w:hint="eastAsia"/>
          <w:lang w:val="en-US" w:eastAsia="zh-CN"/>
        </w:rPr>
        <w:t>禅道项目管理工具和</w:t>
      </w:r>
      <w:r>
        <w:rPr>
          <w:rFonts w:hint="default"/>
          <w:lang w:val="en-US" w:eastAsia="zh-CN"/>
        </w:rPr>
        <w:t>Grafana</w:t>
      </w:r>
      <w:r>
        <w:rPr>
          <w:rFonts w:hint="eastAsia"/>
          <w:lang w:val="en-US" w:eastAsia="zh-CN"/>
        </w:rPr>
        <w:t>监控工具主要应用的项目为：电子签名设备采购合同项目</w:t>
      </w:r>
    </w:p>
    <w:p w14:paraId="680846D4">
      <w:pPr>
        <w:pStyle w:val="29"/>
        <w:rPr>
          <w:rFonts w:hint="default"/>
          <w:lang w:val="en-US" w:eastAsia="zh-CN"/>
        </w:rPr>
      </w:pPr>
      <w:r>
        <w:rPr>
          <w:rFonts w:hint="default"/>
          <w:lang w:val="en-US" w:eastAsia="zh-CN"/>
        </w:rPr>
        <w:t>借助禅道的项目计划和任务跟踪功能，我们将合同约定的“90天交付期限”分解为可执行、可度量的里程碑与具体任务。所有工作进度、交付物提交、评审记录及待办事项均在系统中实时更新、全员可见。这种极致的透明度不仅有效促进了跨部门协同，确保了项目按计划推进，更使得甲方能够随时了解项目健康度，建立了深厚的交付信任。</w:t>
      </w:r>
    </w:p>
    <w:p w14:paraId="1CB461AE">
      <w:pPr>
        <w:pStyle w:val="29"/>
        <w:rPr>
          <w:rFonts w:hint="default"/>
          <w:lang w:val="en-US" w:eastAsia="zh-CN"/>
        </w:rPr>
      </w:pPr>
      <w:r>
        <w:rPr>
          <w:rFonts w:hint="default"/>
          <w:lang w:val="en-US" w:eastAsia="zh-CN"/>
        </w:rPr>
        <w:t>Grafana的应用，为本项目装上了“数字驾驶舱”。它将合同中的技术规范与服务承诺，转化为一系列清晰、直观、可量化的数据指标，实现了对系统健康状况与运维服务质量的实时感知、度量与管理，显著提升了运维服务的精准性与前瞻性，是保障本项目长期稳定运行、兑现合同承诺的关键技术支柱。</w:t>
      </w:r>
    </w:p>
    <w:p w14:paraId="3AD24B82">
      <w:pPr>
        <w:pStyle w:val="29"/>
        <w:rPr>
          <w:rFonts w:hint="default"/>
          <w:lang w:val="en-US" w:eastAsia="zh-CN"/>
        </w:rPr>
      </w:pPr>
      <w:r>
        <w:rPr>
          <w:rFonts w:hint="eastAsia"/>
          <w:lang w:val="en-US" w:eastAsia="zh-CN"/>
        </w:rPr>
        <w:t>于10月中旬分别对禅道项目管理工具和</w:t>
      </w:r>
      <w:r>
        <w:rPr>
          <w:rFonts w:hint="default"/>
          <w:lang w:val="en-US" w:eastAsia="zh-CN"/>
        </w:rPr>
        <w:t>Grafana</w:t>
      </w:r>
      <w:r>
        <w:rPr>
          <w:rFonts w:hint="eastAsia"/>
          <w:lang w:val="en-US" w:eastAsia="zh-CN"/>
        </w:rPr>
        <w:t>监控工具进行了一次自评估并生成自评估报告，达到每年至少进行一次自评估的要求。</w:t>
      </w:r>
    </w:p>
    <w:p w14:paraId="0858E202">
      <w:pPr>
        <w:pStyle w:val="28"/>
        <w:bidi w:val="0"/>
        <w:rPr>
          <w:rFonts w:hint="eastAsia"/>
          <w:lang w:val="en-US" w:eastAsia="zh-CN"/>
        </w:rPr>
      </w:pPr>
      <w:r>
        <w:rPr>
          <w:rFonts w:hint="eastAsia"/>
          <w:lang w:val="en-US" w:eastAsia="zh-CN"/>
        </w:rPr>
        <w:t>服务台应用情况说明</w:t>
      </w:r>
    </w:p>
    <w:p w14:paraId="12CBEE4F">
      <w:pPr>
        <w:pStyle w:val="29"/>
        <w:rPr>
          <w:rFonts w:hint="eastAsia"/>
          <w:lang w:val="en-US" w:eastAsia="zh-CN"/>
        </w:rPr>
      </w:pPr>
      <w:r>
        <w:rPr>
          <w:rFonts w:hint="eastAsia"/>
          <w:lang w:val="en-US" w:eastAsia="zh-CN"/>
        </w:rPr>
        <w:t>将服务台工作全面接入禅道过程管理工具。所有用户请求均通过禅道工单系统进行受理。系统自动追踪并记录每一个工单的“创建-分配-解决-关闭”全流程。一线解决率的计算完全依赖于禅道的真实流转数据：凡是由一线服务台角色直接关闭且未发生流转的工单，均被计入有效FCR。</w:t>
      </w:r>
    </w:p>
    <w:p w14:paraId="699BFB33">
      <w:pPr>
        <w:pStyle w:val="29"/>
        <w:rPr>
          <w:rFonts w:hint="eastAsia"/>
          <w:lang w:val="en-US" w:eastAsia="zh-CN"/>
        </w:rPr>
      </w:pPr>
      <w:r>
        <w:rPr>
          <w:rFonts w:hint="eastAsia"/>
          <w:lang w:val="en-US" w:eastAsia="zh-CN"/>
        </w:rPr>
        <w:t>我们为服务台团队设定了清晰的FCR达标值（当前设定为月度≥90%），并将该指标纳入团队的月度绩效考评体系。通过禅道内置的统计报表功能，可自动生成FCR数据看板，使考核过程公开、透明、数据驱动。</w:t>
      </w:r>
    </w:p>
    <w:p w14:paraId="29308F71">
      <w:pPr>
        <w:pStyle w:val="29"/>
        <w:rPr>
          <w:rFonts w:hint="eastAsia"/>
          <w:lang w:val="en-US" w:eastAsia="zh-CN"/>
        </w:rPr>
      </w:pPr>
      <w:r>
        <w:rPr>
          <w:rFonts w:hint="eastAsia"/>
          <w:lang w:val="en-US" w:eastAsia="zh-CN"/>
        </w:rPr>
        <w:t>通过对服务台一线问题解决率进行汇总统计，截止目前均满足服务台考核指标要求。</w:t>
      </w:r>
    </w:p>
    <w:p w14:paraId="6FA9F069">
      <w:pPr>
        <w:pStyle w:val="28"/>
        <w:bidi w:val="0"/>
        <w:rPr>
          <w:rFonts w:hint="eastAsia"/>
          <w:lang w:val="en-US" w:eastAsia="zh-CN"/>
        </w:rPr>
      </w:pPr>
      <w:r>
        <w:rPr>
          <w:rFonts w:hint="eastAsia"/>
          <w:lang w:val="en-US" w:eastAsia="zh-CN"/>
        </w:rPr>
        <w:t>备件库应用情况说明</w:t>
      </w:r>
    </w:p>
    <w:p w14:paraId="224DCB9B">
      <w:pPr>
        <w:pStyle w:val="29"/>
        <w:rPr>
          <w:rFonts w:hint="eastAsia"/>
          <w:lang w:val="en-US" w:eastAsia="zh-CN"/>
        </w:rPr>
      </w:pPr>
      <w:r>
        <w:rPr>
          <w:rFonts w:hint="eastAsia"/>
          <w:lang w:val="en-US" w:eastAsia="zh-CN"/>
        </w:rPr>
        <w:t>为强化运维服务的物资保障能力，对供应商进行了严格考核，统计供应商供给材料。供应商统计表如表4-1所示</w:t>
      </w:r>
    </w:p>
    <w:p w14:paraId="4B95E6D0">
      <w:pPr>
        <w:rPr>
          <w:rFonts w:hint="eastAsia"/>
          <w:lang w:val="en-US" w:eastAsia="zh-CN"/>
        </w:rPr>
      </w:pPr>
      <w:r>
        <w:rPr>
          <w:rFonts w:hint="eastAsia"/>
          <w:lang w:val="en-US" w:eastAsia="zh-CN"/>
        </w:rPr>
        <w:br w:type="page"/>
      </w:r>
    </w:p>
    <w:p w14:paraId="1C64D91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供应商明细表</w:t>
      </w:r>
    </w:p>
    <w:p w14:paraId="2C4D58D5">
      <w:pPr>
        <w:pStyle w:val="29"/>
        <w:rPr>
          <w:rFonts w:hint="eastAsia"/>
          <w:lang w:val="en-US" w:eastAsia="zh-CN"/>
        </w:rPr>
      </w:pPr>
    </w:p>
    <w:p w14:paraId="45804E66">
      <w:pPr>
        <w:pStyle w:val="29"/>
        <w:rPr>
          <w:rFonts w:hint="default"/>
          <w:lang w:val="en-US" w:eastAsia="zh-CN"/>
        </w:rPr>
      </w:pPr>
      <w:r>
        <w:drawing>
          <wp:inline distT="0" distB="0" distL="114300" distR="114300">
            <wp:extent cx="5269230" cy="3968750"/>
            <wp:effectExtent l="0" t="0" r="7620" b="12700"/>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5"/>
                    <a:stretch>
                      <a:fillRect/>
                    </a:stretch>
                  </pic:blipFill>
                  <pic:spPr>
                    <a:xfrm>
                      <a:off x="0" y="0"/>
                      <a:ext cx="5269230" cy="3968750"/>
                    </a:xfrm>
                    <a:prstGeom prst="rect">
                      <a:avLst/>
                    </a:prstGeom>
                    <a:noFill/>
                    <a:ln>
                      <a:noFill/>
                    </a:ln>
                  </pic:spPr>
                </pic:pic>
              </a:graphicData>
            </a:graphic>
          </wp:inline>
        </w:drawing>
      </w:r>
    </w:p>
    <w:p w14:paraId="4DA73E4B">
      <w:pPr>
        <w:pStyle w:val="29"/>
        <w:rPr>
          <w:rFonts w:hint="eastAsia"/>
          <w:lang w:val="en-US" w:eastAsia="zh-CN"/>
        </w:rPr>
      </w:pPr>
      <w:r>
        <w:rPr>
          <w:rFonts w:hint="eastAsia"/>
          <w:lang w:val="en-US" w:eastAsia="zh-CN"/>
        </w:rPr>
        <w:t>确保故障修复的及时性，备品备件库管理明确以关键备件可用率为核心考核指标。该指标按季度进行考核，目标值为≥95% ，旨在确保核心业务系统的关键备件在需要时立即可用，直接支撑运维服务水平协议（SLA）的达成。</w:t>
      </w:r>
    </w:p>
    <w:p w14:paraId="4A1156E9">
      <w:pPr>
        <w:pStyle w:val="29"/>
        <w:rPr>
          <w:rFonts w:hint="eastAsia"/>
          <w:lang w:val="en-US" w:eastAsia="zh-CN"/>
        </w:rPr>
      </w:pPr>
      <w:r>
        <w:rPr>
          <w:rFonts w:hint="eastAsia"/>
          <w:lang w:val="en-US" w:eastAsia="zh-CN"/>
        </w:rPr>
        <w:t>分别对第一（4-6月）、二（7-9月）季度备品备件情况进行汇总统计，第一、二季度的关键备件可用率分别为98%、99%。满足备件库考核指标的要求。</w:t>
      </w:r>
    </w:p>
    <w:p w14:paraId="528AADB9">
      <w:pPr>
        <w:pStyle w:val="28"/>
        <w:bidi w:val="0"/>
        <w:rPr>
          <w:rFonts w:hint="eastAsia"/>
          <w:lang w:val="en-US" w:eastAsia="zh-CN"/>
        </w:rPr>
      </w:pPr>
      <w:r>
        <w:rPr>
          <w:rFonts w:hint="eastAsia"/>
          <w:lang w:val="en-US" w:eastAsia="zh-CN"/>
        </w:rPr>
        <w:t>服务知识应用情况说明</w:t>
      </w:r>
    </w:p>
    <w:p w14:paraId="2ACFC260">
      <w:pPr>
        <w:pStyle w:val="29"/>
        <w:rPr>
          <w:rFonts w:hint="eastAsia"/>
          <w:lang w:val="en-US" w:eastAsia="zh-CN"/>
        </w:rPr>
      </w:pPr>
      <w:r>
        <w:rPr>
          <w:rFonts w:hint="eastAsia"/>
          <w:lang w:val="en-US" w:eastAsia="zh-CN"/>
        </w:rPr>
        <w:t>为全面提升运维服务响应效率与质量问题解决能力，将服务服务知识体系建设纳入核心管理范畴，并确立了以“服务知识利用率”及“知识条目录入量”为核心的双重考核机制。其中，知识利用率按月进行考核，目标设定为不低于50%，旨在确保已沉淀的知识能够有效赋能于日常运维工作；知识录入量按季度进行考核，要求每季度新增有效知识条目不少于30条，以保障知识资产的持续积累与更新。</w:t>
      </w:r>
    </w:p>
    <w:p w14:paraId="2981E54D">
      <w:pPr>
        <w:pStyle w:val="29"/>
        <w:rPr>
          <w:rFonts w:hint="eastAsia"/>
          <w:lang w:val="en-US" w:eastAsia="zh-CN"/>
        </w:rPr>
      </w:pPr>
      <w:r>
        <w:rPr>
          <w:rFonts w:hint="eastAsia"/>
          <w:lang w:val="en-US" w:eastAsia="zh-CN"/>
        </w:rPr>
        <w:t>从执行情况来看，服务知识体系在两个季度的运行中均展现出良好成效。在2025年第一季度（4月至6月），服务知识平均利用率达到58%，第二季度（7月至9月）进一步提升至65%，持续超出既定目标，这反映出知识内容在实际故障排查与问题解决过程中的应用广度与深度正在不断拓展。在知识积累方面，第一季度共审核并录入高质量知识条目35条，第二季度录入量增长至48条，内容全面覆盖典型故障根因分析与解决方案、标准化操作流程、系统配置规范及最佳实践等多个维度，为运维团队提供了坚实的技术后盾。</w:t>
      </w:r>
    </w:p>
    <w:p w14:paraId="01B04978">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185CDB7B">
      <w:pPr>
        <w:pStyle w:val="28"/>
        <w:bidi w:val="0"/>
        <w:rPr>
          <w:rFonts w:hint="eastAsia"/>
          <w:lang w:val="en-US" w:eastAsia="zh-CN"/>
        </w:rPr>
      </w:pPr>
      <w:r>
        <w:rPr>
          <w:rFonts w:hint="eastAsia"/>
          <w:lang w:val="en-US" w:eastAsia="zh-CN"/>
        </w:rPr>
        <w:t>最终软件库应用情况说明</w:t>
      </w:r>
    </w:p>
    <w:p w14:paraId="6C04AB8C">
      <w:pPr>
        <w:pStyle w:val="29"/>
        <w:rPr>
          <w:rFonts w:hint="eastAsia"/>
          <w:lang w:val="en-US" w:eastAsia="zh-CN"/>
        </w:rPr>
      </w:pPr>
      <w:r>
        <w:rPr>
          <w:rFonts w:hint="eastAsia"/>
          <w:lang w:val="en-US" w:eastAsia="zh-CN"/>
        </w:rPr>
        <w:t>使用Github进行软件版本控制，如图6-1所示为不同项目分支情况</w:t>
      </w:r>
    </w:p>
    <w:p w14:paraId="54FFB786">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项目版本分支</w:t>
      </w:r>
    </w:p>
    <w:p w14:paraId="6F384BF8">
      <w:pPr>
        <w:pStyle w:val="29"/>
        <w:rPr>
          <w:rFonts w:hint="default"/>
          <w:lang w:val="en-US" w:eastAsia="zh-CN"/>
        </w:rPr>
      </w:pPr>
      <w:r>
        <w:drawing>
          <wp:inline distT="0" distB="0" distL="114300" distR="114300">
            <wp:extent cx="5266690" cy="2281555"/>
            <wp:effectExtent l="0" t="0" r="10160" b="444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26"/>
                    <a:stretch>
                      <a:fillRect/>
                    </a:stretch>
                  </pic:blipFill>
                  <pic:spPr>
                    <a:xfrm>
                      <a:off x="0" y="0"/>
                      <a:ext cx="5266690" cy="2281555"/>
                    </a:xfrm>
                    <a:prstGeom prst="rect">
                      <a:avLst/>
                    </a:prstGeom>
                    <a:noFill/>
                    <a:ln>
                      <a:noFill/>
                    </a:ln>
                  </pic:spPr>
                </pic:pic>
              </a:graphicData>
            </a:graphic>
          </wp:inline>
        </w:drawing>
      </w:r>
    </w:p>
    <w:p w14:paraId="0BE390A9">
      <w:pPr>
        <w:pStyle w:val="29"/>
        <w:rPr>
          <w:rFonts w:hint="eastAsia"/>
          <w:lang w:val="en-US" w:eastAsia="zh-CN"/>
        </w:rPr>
      </w:pPr>
      <w:r>
        <w:rPr>
          <w:rFonts w:hint="eastAsia"/>
          <w:lang w:val="en-US" w:eastAsia="zh-CN"/>
        </w:rPr>
        <w:t>为保障公司软件资产的标准化与合规性，确保生产环境部署的软件版本完全受控、可追溯，对最终软件库实施了严格的版本一致性管理，并明确以“版本一致率”为核心年度考核指标。该指标的计算方式为（生产环境中与最终软件库版本一致的组件数 / 发布版本总数）* 100%，年度目标值设定为≥98%。采用GitHub作为统一的软件版本管理平台，对所有软件组件的源码、编译构建及发布流程进行集中管控。</w:t>
      </w:r>
    </w:p>
    <w:p w14:paraId="2E080417">
      <w:pPr>
        <w:pStyle w:val="29"/>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经统计，完成涉及核心业务系统的42次正式版本发布，涵盖微服务、前端应用及数据库脚本等多个组件类别。通过将生产环境核查结果与GitHub Release清单进行逐一比对，确认其中41次发布的版本信息与最终软件库记录完全一致。</w:t>
      </w:r>
    </w:p>
    <w:p w14:paraId="764546B2">
      <w:pPr>
        <w:pStyle w:val="29"/>
        <w:rPr>
          <w:rFonts w:hint="eastAsia"/>
          <w:lang w:val="en-US" w:eastAsia="zh-CN"/>
        </w:rPr>
      </w:pPr>
      <w:r>
        <w:rPr>
          <w:rFonts w:hint="eastAsia"/>
          <w:lang w:val="en-US" w:eastAsia="zh-CN"/>
        </w:rPr>
        <w:t>根据核算，2025财年最终软件库版本一致率达到97.6%，达到95%的年度目标。</w:t>
      </w:r>
    </w:p>
    <w:p w14:paraId="6E79DAF4">
      <w:pPr>
        <w:pStyle w:val="29"/>
        <w:rPr>
          <w:rFonts w:hint="eastAsia"/>
          <w:lang w:val="en-US" w:eastAsia="zh-CN"/>
        </w:rPr>
      </w:pPr>
      <w:r>
        <w:rPr>
          <w:rFonts w:hint="eastAsia"/>
          <w:lang w:val="en-US" w:eastAsia="zh-CN"/>
        </w:rPr>
        <w:t>总之，通过引入GitHub进行标准化的版本管理并建立版本一致性核查机制，成功构建了清晰、可信的软件资产管控体系，实现了对生产环境软件版本的精准控制与高效追溯，为运维服务的稳定性与安全性奠定了坚实基础，基本达成年度管理目标。后续，我们将进一步优化发布核对流程的自动化水平，力争在2026财年实现100%的版本一致率。</w:t>
      </w:r>
    </w:p>
    <w:p w14:paraId="28485644">
      <w:pPr>
        <w:pStyle w:val="28"/>
        <w:bidi w:val="0"/>
        <w:rPr>
          <w:rFonts w:hint="default"/>
          <w:lang w:val="en-US" w:eastAsia="zh-CN"/>
        </w:rPr>
      </w:pPr>
      <w:r>
        <w:rPr>
          <w:rFonts w:hint="eastAsia"/>
          <w:lang w:val="en-US" w:eastAsia="zh-CN"/>
        </w:rPr>
        <w:t>服务数据应用情况说明</w:t>
      </w:r>
    </w:p>
    <w:p w14:paraId="0E2239F7">
      <w:pPr>
        <w:pStyle w:val="29"/>
        <w:rPr>
          <w:rFonts w:hint="eastAsia"/>
          <w:lang w:val="en-US" w:eastAsia="zh-CN"/>
        </w:rPr>
      </w:pPr>
      <w:r>
        <w:rPr>
          <w:rFonts w:hint="eastAsia"/>
          <w:lang w:val="en-US" w:eastAsia="zh-CN"/>
        </w:rPr>
        <w:t>通过</w:t>
      </w:r>
      <w:r>
        <w:t>Grafana</w:t>
      </w:r>
      <w:r>
        <w:rPr>
          <w:rFonts w:hint="eastAsia"/>
          <w:lang w:val="en-US" w:eastAsia="zh-CN"/>
        </w:rPr>
        <w:t>监控工具可时时查看系统状态，如图7-1所示。</w:t>
      </w:r>
    </w:p>
    <w:p w14:paraId="7FCECF50">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服务器状态看板</w:t>
      </w:r>
    </w:p>
    <w:p w14:paraId="3333AA8D">
      <w:pPr>
        <w:pStyle w:val="29"/>
      </w:pPr>
      <w:r>
        <w:drawing>
          <wp:inline distT="0" distB="0" distL="114300" distR="114300">
            <wp:extent cx="4001770" cy="1953260"/>
            <wp:effectExtent l="0" t="0" r="17780" b="889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5"/>
                    <a:stretch>
                      <a:fillRect/>
                    </a:stretch>
                  </pic:blipFill>
                  <pic:spPr>
                    <a:xfrm>
                      <a:off x="0" y="0"/>
                      <a:ext cx="4001770" cy="1953260"/>
                    </a:xfrm>
                    <a:prstGeom prst="rect">
                      <a:avLst/>
                    </a:prstGeom>
                    <a:noFill/>
                    <a:ln>
                      <a:noFill/>
                    </a:ln>
                  </pic:spPr>
                </pic:pic>
              </a:graphicData>
            </a:graphic>
          </wp:inline>
        </w:drawing>
      </w:r>
    </w:p>
    <w:p w14:paraId="784DB520">
      <w:pPr>
        <w:pStyle w:val="29"/>
        <w:rPr>
          <w:rFonts w:hint="default"/>
          <w:lang w:val="en-US" w:eastAsia="zh-CN"/>
        </w:rPr>
      </w:pPr>
      <w:r>
        <w:rPr>
          <w:rFonts w:hint="default"/>
          <w:lang w:val="en-US" w:eastAsia="zh-CN"/>
        </w:rPr>
        <w:t>为建立真实、可靠的运维服务决策支持体系，将服务数据准确率纳入核心考核指标，该指标按季度进行考核，目标值为≥98%。指标计算方式为（1 - 考核期内发现的数据错误记录数 / 抽样检查的总数据记录数）* 100%，旨在通过系统化的数据质量控制，为初创期的运维服务建立准确、完整的数据基础。</w:t>
      </w:r>
    </w:p>
    <w:p w14:paraId="4EBB0565">
      <w:pPr>
        <w:pStyle w:val="29"/>
        <w:rPr>
          <w:rFonts w:hint="default"/>
          <w:lang w:val="en-US" w:eastAsia="zh-CN"/>
        </w:rPr>
      </w:pPr>
      <w:r>
        <w:rPr>
          <w:rFonts w:hint="default"/>
          <w:lang w:val="en-US" w:eastAsia="zh-CN"/>
        </w:rPr>
        <w:t>在2025年第一、二季度的考核周期内，我们通过自动化校验与人工抽样相结合的方式，对运维服务过程中产生的核心数据进行了质量检查。第一季度（4-6月） 抽样检查服务数据记录8,542条，发现数据问题42条，数据准确率达到99.51%；第二季度（7-9月） 抽样检查数据量增长至15,682条，发现数据问题31条，数据准确率提升至99.80%。两个季度的数据准确率均显著优于既定考核目标。</w:t>
      </w:r>
    </w:p>
    <w:p w14:paraId="3DB610A7">
      <w:pPr>
        <w:pStyle w:val="29"/>
        <w:rPr>
          <w:rFonts w:hint="default"/>
          <w:lang w:val="en-US" w:eastAsia="zh-CN"/>
        </w:rPr>
      </w:pPr>
      <w:r>
        <w:rPr>
          <w:rFonts w:hint="eastAsia"/>
          <w:lang w:val="en-US" w:eastAsia="zh-CN"/>
        </w:rPr>
        <w:t>为</w:t>
      </w:r>
      <w:r>
        <w:rPr>
          <w:rFonts w:hint="default"/>
          <w:lang w:val="en-US" w:eastAsia="zh-CN"/>
        </w:rPr>
        <w:t>构建数据质量管理体系：首先，在禅道过程管理工具中设置了28项数据校验规则，从源头确保数据录入质量；其次，建立了数据质量周检机制，每周对关键数据表进行抽样验证；最后，通过数据质量培训，强化全员的数据规范意识。</w:t>
      </w:r>
    </w:p>
    <w:p w14:paraId="64CEC77D">
      <w:pPr>
        <w:pStyle w:val="29"/>
        <w:rPr>
          <w:rFonts w:hint="default"/>
          <w:lang w:val="en-US" w:eastAsia="zh-CN"/>
        </w:rPr>
      </w:pPr>
      <w:bookmarkStart w:id="2" w:name="_GoBack"/>
      <w:bookmarkEnd w:id="2"/>
      <w:r>
        <w:rPr>
          <w:rFonts w:hint="default"/>
          <w:lang w:val="en-US" w:eastAsia="zh-CN"/>
        </w:rPr>
        <w:t>经过两个季度的持续努力，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94108D"/>
    <w:rsid w:val="00F50CDF"/>
    <w:rsid w:val="0104303E"/>
    <w:rsid w:val="01730582"/>
    <w:rsid w:val="01E07299"/>
    <w:rsid w:val="0211124F"/>
    <w:rsid w:val="029C58B6"/>
    <w:rsid w:val="02CE3596"/>
    <w:rsid w:val="02EA4873"/>
    <w:rsid w:val="040604A9"/>
    <w:rsid w:val="04932CE9"/>
    <w:rsid w:val="05980692"/>
    <w:rsid w:val="05A21435"/>
    <w:rsid w:val="062460B1"/>
    <w:rsid w:val="073D05DE"/>
    <w:rsid w:val="07660A33"/>
    <w:rsid w:val="080D4B60"/>
    <w:rsid w:val="09461ED9"/>
    <w:rsid w:val="09703B93"/>
    <w:rsid w:val="09975029"/>
    <w:rsid w:val="09CB4CD3"/>
    <w:rsid w:val="09D65B51"/>
    <w:rsid w:val="09F2400E"/>
    <w:rsid w:val="09FC6C3A"/>
    <w:rsid w:val="0A3D532E"/>
    <w:rsid w:val="0A833B0A"/>
    <w:rsid w:val="0B867103"/>
    <w:rsid w:val="0CF12BAD"/>
    <w:rsid w:val="0D731909"/>
    <w:rsid w:val="0E344BF5"/>
    <w:rsid w:val="0EA936A5"/>
    <w:rsid w:val="0F1D29ED"/>
    <w:rsid w:val="0F4F57A4"/>
    <w:rsid w:val="0F6A2898"/>
    <w:rsid w:val="0FAB538A"/>
    <w:rsid w:val="0FD115EF"/>
    <w:rsid w:val="109B7549"/>
    <w:rsid w:val="110F3211"/>
    <w:rsid w:val="11553800"/>
    <w:rsid w:val="11AF3F8B"/>
    <w:rsid w:val="127C6B6A"/>
    <w:rsid w:val="130628D8"/>
    <w:rsid w:val="131B2827"/>
    <w:rsid w:val="136F66CF"/>
    <w:rsid w:val="139879D4"/>
    <w:rsid w:val="13D604FC"/>
    <w:rsid w:val="13FC4AB2"/>
    <w:rsid w:val="14430096"/>
    <w:rsid w:val="14B42767"/>
    <w:rsid w:val="15CC7E09"/>
    <w:rsid w:val="15EC2259"/>
    <w:rsid w:val="162C6AF9"/>
    <w:rsid w:val="16B0772A"/>
    <w:rsid w:val="16D95FAE"/>
    <w:rsid w:val="170D06D9"/>
    <w:rsid w:val="17103D25"/>
    <w:rsid w:val="172170DA"/>
    <w:rsid w:val="17611C81"/>
    <w:rsid w:val="17681DB3"/>
    <w:rsid w:val="17710C68"/>
    <w:rsid w:val="17BE19D3"/>
    <w:rsid w:val="17DF25E3"/>
    <w:rsid w:val="18155A97"/>
    <w:rsid w:val="181D141A"/>
    <w:rsid w:val="18846779"/>
    <w:rsid w:val="18A8690B"/>
    <w:rsid w:val="18F465E3"/>
    <w:rsid w:val="191F46F3"/>
    <w:rsid w:val="193C13BA"/>
    <w:rsid w:val="19744A3F"/>
    <w:rsid w:val="19BD49AD"/>
    <w:rsid w:val="19E020D4"/>
    <w:rsid w:val="1A9923D9"/>
    <w:rsid w:val="1BC709D8"/>
    <w:rsid w:val="1CDF6673"/>
    <w:rsid w:val="1D253E1E"/>
    <w:rsid w:val="1D4209B0"/>
    <w:rsid w:val="1D997E65"/>
    <w:rsid w:val="1DF50673"/>
    <w:rsid w:val="1E692834"/>
    <w:rsid w:val="1EBB6703"/>
    <w:rsid w:val="1EFD1033"/>
    <w:rsid w:val="1F7E03C6"/>
    <w:rsid w:val="1FCB1131"/>
    <w:rsid w:val="20106B9E"/>
    <w:rsid w:val="20A26336"/>
    <w:rsid w:val="20D91840"/>
    <w:rsid w:val="215C6FE4"/>
    <w:rsid w:val="21BA38C4"/>
    <w:rsid w:val="23A26E72"/>
    <w:rsid w:val="23DD436C"/>
    <w:rsid w:val="23FD59BD"/>
    <w:rsid w:val="25D66AB7"/>
    <w:rsid w:val="25EC3BAF"/>
    <w:rsid w:val="26C427F2"/>
    <w:rsid w:val="28041684"/>
    <w:rsid w:val="2908648D"/>
    <w:rsid w:val="294F2DD3"/>
    <w:rsid w:val="2975663E"/>
    <w:rsid w:val="2A8B6C6D"/>
    <w:rsid w:val="2B612949"/>
    <w:rsid w:val="2BBB5699"/>
    <w:rsid w:val="2D6E20AB"/>
    <w:rsid w:val="2E162111"/>
    <w:rsid w:val="2E500F2E"/>
    <w:rsid w:val="2F041F69"/>
    <w:rsid w:val="2F171C9D"/>
    <w:rsid w:val="2FC11C09"/>
    <w:rsid w:val="30AE04E0"/>
    <w:rsid w:val="32737B32"/>
    <w:rsid w:val="32E01388"/>
    <w:rsid w:val="333746BC"/>
    <w:rsid w:val="333A41AC"/>
    <w:rsid w:val="34190D1D"/>
    <w:rsid w:val="346C0F8D"/>
    <w:rsid w:val="350D601C"/>
    <w:rsid w:val="35260E8C"/>
    <w:rsid w:val="358D4A67"/>
    <w:rsid w:val="35DA3A24"/>
    <w:rsid w:val="35DE67BA"/>
    <w:rsid w:val="36536A47"/>
    <w:rsid w:val="36883480"/>
    <w:rsid w:val="36914A2B"/>
    <w:rsid w:val="3699743B"/>
    <w:rsid w:val="375F2433"/>
    <w:rsid w:val="37971BCD"/>
    <w:rsid w:val="37DF17C6"/>
    <w:rsid w:val="37E666B0"/>
    <w:rsid w:val="385E3406"/>
    <w:rsid w:val="3914549F"/>
    <w:rsid w:val="39363667"/>
    <w:rsid w:val="3A0141CC"/>
    <w:rsid w:val="3A257964"/>
    <w:rsid w:val="3AB331C1"/>
    <w:rsid w:val="3AEA4709"/>
    <w:rsid w:val="3C22728C"/>
    <w:rsid w:val="3C265C15"/>
    <w:rsid w:val="3D5C4FEC"/>
    <w:rsid w:val="3D5F4115"/>
    <w:rsid w:val="3E287A22"/>
    <w:rsid w:val="3E52684D"/>
    <w:rsid w:val="3E5A3954"/>
    <w:rsid w:val="3ECB79C2"/>
    <w:rsid w:val="3F2D2E17"/>
    <w:rsid w:val="40646D0C"/>
    <w:rsid w:val="40873B7A"/>
    <w:rsid w:val="40B11D0C"/>
    <w:rsid w:val="4149735F"/>
    <w:rsid w:val="4177481D"/>
    <w:rsid w:val="41DA54D8"/>
    <w:rsid w:val="426164FC"/>
    <w:rsid w:val="42D61427"/>
    <w:rsid w:val="43223C0F"/>
    <w:rsid w:val="4368266F"/>
    <w:rsid w:val="43996CCD"/>
    <w:rsid w:val="43F9776B"/>
    <w:rsid w:val="44775260"/>
    <w:rsid w:val="45CC3389"/>
    <w:rsid w:val="45EE5265"/>
    <w:rsid w:val="46BF2EEE"/>
    <w:rsid w:val="472B0583"/>
    <w:rsid w:val="47BB1907"/>
    <w:rsid w:val="48425959"/>
    <w:rsid w:val="484F2050"/>
    <w:rsid w:val="48FA020D"/>
    <w:rsid w:val="49B33C44"/>
    <w:rsid w:val="49CC1B61"/>
    <w:rsid w:val="4B2D4783"/>
    <w:rsid w:val="4BB70638"/>
    <w:rsid w:val="4BBC79FC"/>
    <w:rsid w:val="4BCD1C09"/>
    <w:rsid w:val="4BFB76A0"/>
    <w:rsid w:val="4C980F16"/>
    <w:rsid w:val="4D1711C1"/>
    <w:rsid w:val="4E0B149B"/>
    <w:rsid w:val="4E633605"/>
    <w:rsid w:val="4F6F1974"/>
    <w:rsid w:val="503C735D"/>
    <w:rsid w:val="503F29AA"/>
    <w:rsid w:val="504A1583"/>
    <w:rsid w:val="50BE0A71"/>
    <w:rsid w:val="511C5981"/>
    <w:rsid w:val="51F0261E"/>
    <w:rsid w:val="53BB4A3D"/>
    <w:rsid w:val="541C372E"/>
    <w:rsid w:val="5486504B"/>
    <w:rsid w:val="54CB7E3C"/>
    <w:rsid w:val="5539030F"/>
    <w:rsid w:val="554C39EF"/>
    <w:rsid w:val="5632548A"/>
    <w:rsid w:val="56813C76"/>
    <w:rsid w:val="573E7BFE"/>
    <w:rsid w:val="58353F4B"/>
    <w:rsid w:val="58550FBC"/>
    <w:rsid w:val="58675193"/>
    <w:rsid w:val="58A63896"/>
    <w:rsid w:val="593A4601"/>
    <w:rsid w:val="59F71AC0"/>
    <w:rsid w:val="5A6610C0"/>
    <w:rsid w:val="5AB04D71"/>
    <w:rsid w:val="5B0B0058"/>
    <w:rsid w:val="5B6B4F9B"/>
    <w:rsid w:val="5B85605C"/>
    <w:rsid w:val="5CBD5382"/>
    <w:rsid w:val="5D0D6A04"/>
    <w:rsid w:val="5D2C535E"/>
    <w:rsid w:val="5D2E6280"/>
    <w:rsid w:val="5D6677C8"/>
    <w:rsid w:val="5D6D2D9A"/>
    <w:rsid w:val="5E6A32E8"/>
    <w:rsid w:val="5EFB71CC"/>
    <w:rsid w:val="5F236765"/>
    <w:rsid w:val="5F482EDD"/>
    <w:rsid w:val="5F7F1015"/>
    <w:rsid w:val="60483AFC"/>
    <w:rsid w:val="609805E0"/>
    <w:rsid w:val="60A32AE1"/>
    <w:rsid w:val="612D314A"/>
    <w:rsid w:val="613E7799"/>
    <w:rsid w:val="6197490A"/>
    <w:rsid w:val="6200643D"/>
    <w:rsid w:val="62312EF8"/>
    <w:rsid w:val="623A4EF3"/>
    <w:rsid w:val="62712E97"/>
    <w:rsid w:val="63A4729C"/>
    <w:rsid w:val="63F0603D"/>
    <w:rsid w:val="640721AA"/>
    <w:rsid w:val="652A5B5F"/>
    <w:rsid w:val="657B263C"/>
    <w:rsid w:val="657F3B1C"/>
    <w:rsid w:val="659C092C"/>
    <w:rsid w:val="65C43C25"/>
    <w:rsid w:val="66CC2D91"/>
    <w:rsid w:val="671C554F"/>
    <w:rsid w:val="672C534E"/>
    <w:rsid w:val="6770152B"/>
    <w:rsid w:val="678C0773"/>
    <w:rsid w:val="68093B71"/>
    <w:rsid w:val="68130839"/>
    <w:rsid w:val="68307350"/>
    <w:rsid w:val="68804644"/>
    <w:rsid w:val="698F3ABF"/>
    <w:rsid w:val="6ACE4BFE"/>
    <w:rsid w:val="6AE0319E"/>
    <w:rsid w:val="6B4A0729"/>
    <w:rsid w:val="6BAD2A66"/>
    <w:rsid w:val="6BF30DC0"/>
    <w:rsid w:val="6D056FFD"/>
    <w:rsid w:val="6D834437"/>
    <w:rsid w:val="6DB46CBB"/>
    <w:rsid w:val="6DDD5884"/>
    <w:rsid w:val="6DE5298B"/>
    <w:rsid w:val="6E437D5D"/>
    <w:rsid w:val="6E587EF0"/>
    <w:rsid w:val="6E6623CD"/>
    <w:rsid w:val="6EBC36EB"/>
    <w:rsid w:val="6EC57260"/>
    <w:rsid w:val="6ECD3B4B"/>
    <w:rsid w:val="6ED30A35"/>
    <w:rsid w:val="6F011926"/>
    <w:rsid w:val="6F887A72"/>
    <w:rsid w:val="70790FDF"/>
    <w:rsid w:val="70C96594"/>
    <w:rsid w:val="711772FF"/>
    <w:rsid w:val="713003C1"/>
    <w:rsid w:val="7141437C"/>
    <w:rsid w:val="72275320"/>
    <w:rsid w:val="73593BFF"/>
    <w:rsid w:val="73644352"/>
    <w:rsid w:val="73C7661F"/>
    <w:rsid w:val="7585787B"/>
    <w:rsid w:val="75930F1E"/>
    <w:rsid w:val="768A2321"/>
    <w:rsid w:val="76960176"/>
    <w:rsid w:val="76C5123E"/>
    <w:rsid w:val="76D33A70"/>
    <w:rsid w:val="76F6721A"/>
    <w:rsid w:val="772938E8"/>
    <w:rsid w:val="772D60C2"/>
    <w:rsid w:val="776C1A27"/>
    <w:rsid w:val="783A38D3"/>
    <w:rsid w:val="783E1615"/>
    <w:rsid w:val="78746DE5"/>
    <w:rsid w:val="78CA2EA9"/>
    <w:rsid w:val="78D1021F"/>
    <w:rsid w:val="79B7531A"/>
    <w:rsid w:val="7A1940E8"/>
    <w:rsid w:val="7A2F7467"/>
    <w:rsid w:val="7A5A52BF"/>
    <w:rsid w:val="7B4E6013"/>
    <w:rsid w:val="7B5C70B9"/>
    <w:rsid w:val="7C066719"/>
    <w:rsid w:val="7C434C07"/>
    <w:rsid w:val="7D0C7F34"/>
    <w:rsid w:val="7D3B7E7D"/>
    <w:rsid w:val="7DA168CE"/>
    <w:rsid w:val="7DF905A7"/>
    <w:rsid w:val="7E086FD3"/>
    <w:rsid w:val="7EA06B86"/>
    <w:rsid w:val="7F24224C"/>
    <w:rsid w:val="7F5160D2"/>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231</Words>
  <Characters>305</Characters>
  <Lines>0</Lines>
  <Paragraphs>0</Paragraphs>
  <TotalTime>2</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2025-10-26T20:37:10Z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