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2" w:name="_GoBack"/>
      <w:bookmarkStart w:id="0" w:name="_Toc260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7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eastAsia"/>
          <w:lang w:val="en-US" w:eastAsia="zh-CN"/>
        </w:rPr>
      </w:pPr>
      <w:bookmarkStart w:id="1" w:name="_Toc27520"/>
      <w:r>
        <w:rPr>
          <w:rFonts w:hint="eastAsia"/>
          <w:lang w:val="en-US" w:eastAsia="zh-CN"/>
        </w:rPr>
        <w:t>运维交付管理制度</w:t>
      </w:r>
      <w:bookmarkEnd w:id="1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ABEBB5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_Toc260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182B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C915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_Toc1824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9FBFB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_Toc13369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BA500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_Toc14707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4BBA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_Toc7905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DE69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7E0AE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_Toc7310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DE403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_Toc30963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6B10D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59700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EBAF0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D5517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DE37CB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总则</w:t>
      </w:r>
    </w:p>
    <w:p w14:paraId="0C7DE80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3ADCB3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阿克苏智汇人才服务有限公司运维服务项目的交付管理，建立统一、标准的项目管理体系，确保项目在预定的范围、时间和成本内达成服务级别协议（SLA）要求，提升客户满意度与服务交付质量，特制定本制度。</w:t>
      </w:r>
    </w:p>
    <w:p w14:paraId="71A8DB6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5DB5F4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本制度适用于公司所有运维服务项目的交付管理活动，涵盖项目立项、策划、实施、验收及改进的全过程，适用于运维部、质量部、人力部、</w:t>
      </w:r>
      <w:r>
        <w:rPr>
          <w:rFonts w:hint="eastAsia"/>
          <w:lang w:val="en-US" w:eastAsia="zh-CN"/>
        </w:rPr>
        <w:t>采购部</w:t>
      </w:r>
      <w:r>
        <w:rPr>
          <w:rFonts w:hint="default"/>
          <w:lang w:val="en-US" w:eastAsia="zh-CN"/>
        </w:rPr>
        <w:t>所有参与项目交付的部门及人员。</w:t>
      </w:r>
    </w:p>
    <w:p w14:paraId="1303199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</w:t>
      </w:r>
    </w:p>
    <w:p w14:paraId="379026E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客户导向原则：项目交付以满足客户业务需求和SLA要求为核心。</w:t>
      </w:r>
    </w:p>
    <w:p w14:paraId="30549A3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过程规范原则：项目交付活动必须遵循统一的流程和标准。</w:t>
      </w:r>
    </w:p>
    <w:p w14:paraId="0E3988A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持续改进原则：通过监控、测量和评审，推动项目交付能力的持续提升。</w:t>
      </w:r>
    </w:p>
    <w:p w14:paraId="0590FB2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协同协作原则：各相关部门应密切配合，确保项目交付过程顺畅高效。</w:t>
      </w:r>
    </w:p>
    <w:p w14:paraId="18F682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</w:t>
      </w:r>
    </w:p>
    <w:p w14:paraId="667232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运维项目经理</w:t>
      </w:r>
    </w:p>
    <w:p w14:paraId="7F996E4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负责制定和审核项目交付管理制度与流程。</w:t>
      </w:r>
    </w:p>
    <w:p w14:paraId="50AAF68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指导项目交付计划的制定，审核质量与客户满意度目标。</w:t>
      </w:r>
    </w:p>
    <w:p w14:paraId="1C868F6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组织实施客户满意度调查与分析，向公司提交年度客户满意度报告。</w:t>
      </w:r>
    </w:p>
    <w:p w14:paraId="0DBA83C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负责项目交付成果的验收，提供项目验收分析报告。</w:t>
      </w:r>
    </w:p>
    <w:p w14:paraId="04F5BC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</w:t>
      </w:r>
      <w:r>
        <w:rPr>
          <w:rFonts w:hint="eastAsia"/>
          <w:lang w:val="en-US" w:eastAsia="zh-CN"/>
        </w:rPr>
        <w:t>经理</w:t>
      </w:r>
    </w:p>
    <w:p w14:paraId="0AAE6E2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负责项目团队的组建与管理。</w:t>
      </w:r>
    </w:p>
    <w:p w14:paraId="6E929C2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编写项目立项及项目计划材料，明确项目范围和量化目标。</w:t>
      </w:r>
    </w:p>
    <w:p w14:paraId="03C5DFE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按SLA向客户提供服务，及时反馈项目异常情况及纠正措施。</w:t>
      </w:r>
    </w:p>
    <w:p w14:paraId="50AD8B1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监督与协调项目交付过程，定期提交SLA自检结果和质量数据。</w:t>
      </w:r>
    </w:p>
    <w:p w14:paraId="1AD43F7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</w:t>
      </w:r>
    </w:p>
    <w:p w14:paraId="065BE3DC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负责组织级运维服务质量统计与管理。</w:t>
      </w:r>
    </w:p>
    <w:p w14:paraId="585158A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组织各类运维服务质量管理活动。</w:t>
      </w:r>
    </w:p>
    <w:p w14:paraId="0F325BD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对项目交付过程进行检查和审计。</w:t>
      </w:r>
    </w:p>
    <w:p w14:paraId="629D7D6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</w:t>
      </w:r>
    </w:p>
    <w:p w14:paraId="7BB1C7D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协助项目团队组建和人员招聘。</w:t>
      </w:r>
    </w:p>
    <w:p w14:paraId="40E4EC5E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组织项目成员培训，协助岗位设置与绩效管理。</w:t>
      </w:r>
    </w:p>
    <w:p w14:paraId="1045242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引用依据</w:t>
      </w:r>
    </w:p>
    <w:p w14:paraId="64B273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本制度制定引用了以下国家标准与行业规范：</w:t>
      </w:r>
    </w:p>
    <w:p w14:paraId="4FC0A08D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28827.1-2022 《信息技术服务 运行维护 第1部分：通用要求》</w:t>
      </w:r>
    </w:p>
    <w:p w14:paraId="30BB0173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28827.2-2012 《信息技术服务 运行维护 第2部分：交付规范》</w:t>
      </w:r>
    </w:p>
    <w:p w14:paraId="627832FF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28827.3-2012 《信息技术服务 运行维护 第3部分：应急响应规范》</w:t>
      </w:r>
    </w:p>
    <w:p w14:paraId="69077926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T/CESA 1299—2023 《信息技术服务 运行维护服务能力成熟度模型》</w:t>
      </w:r>
    </w:p>
    <w:p w14:paraId="495FE59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定义与术语</w:t>
      </w:r>
    </w:p>
    <w:p w14:paraId="49E4AA8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运维项目交付</w:t>
      </w:r>
    </w:p>
    <w:p w14:paraId="2A34C9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指按照服务级别协议（SLA）要求，通过计划、实施、监控和改进等活动，向客户提供运维服务的过程。</w:t>
      </w:r>
    </w:p>
    <w:p w14:paraId="7ABDBD8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服务级别协议（SLA）</w:t>
      </w:r>
    </w:p>
    <w:p w14:paraId="5B5546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服务提供方与客户就服务质量、性能等方面达成的书面协议。</w:t>
      </w:r>
    </w:p>
    <w:p w14:paraId="7CAB2CE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交付成果</w:t>
      </w:r>
    </w:p>
    <w:p w14:paraId="4DC038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项目交付过程中产生的各类文档、报告和服务记录。</w:t>
      </w:r>
    </w:p>
    <w:p w14:paraId="3699E3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管理内容与要求</w:t>
      </w:r>
    </w:p>
    <w:p w14:paraId="02210C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项目立项管理</w:t>
      </w:r>
    </w:p>
    <w:p w14:paraId="43A5B2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项目分类：</w:t>
      </w:r>
    </w:p>
    <w:p w14:paraId="071CA1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续签类项目：由原项目经理及团队负责交付实施。</w:t>
      </w:r>
    </w:p>
    <w:p w14:paraId="7D1D44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新签类项目：由运维部经理根据SLA要求确定项目经理及团队成员。</w:t>
      </w:r>
    </w:p>
    <w:p w14:paraId="0D735BC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立项流程：</w:t>
      </w:r>
    </w:p>
    <w:p w14:paraId="1F8C63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项目团队组建完成后，项目经理在公司项目管理系统中申报立项。</w:t>
      </w:r>
    </w:p>
    <w:p w14:paraId="477A01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立项材料应包括项目背景、目标、范围、资源需求等内容。</w:t>
      </w:r>
    </w:p>
    <w:p w14:paraId="02A39C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项目策划管理</w:t>
      </w:r>
    </w:p>
    <w:p w14:paraId="3D46834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计划内容</w:t>
      </w:r>
    </w:p>
    <w:p w14:paraId="5E19DA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明确交付内容、交付方式、交付成果及量化考核指标。</w:t>
      </w:r>
    </w:p>
    <w:p w14:paraId="45DFB1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预估项目工作量，确定人力资源需求。</w:t>
      </w:r>
    </w:p>
    <w:p w14:paraId="48F417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制定工作流程、关键记录、服务报告和监控方式。</w:t>
      </w:r>
    </w:p>
    <w:p w14:paraId="31C043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识别项目风险，制定风险应对措施。</w:t>
      </w:r>
    </w:p>
    <w:p w14:paraId="7A51B0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制定沟通策略，确保关键信息及时传达。</w:t>
      </w:r>
    </w:p>
    <w:p w14:paraId="403B7C1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计划输出</w:t>
      </w:r>
    </w:p>
    <w:p w14:paraId="6911ED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编制《运维项目管理计划》并提交评审。</w:t>
      </w:r>
    </w:p>
    <w:p w14:paraId="669A2EE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项目评审管理</w:t>
      </w:r>
    </w:p>
    <w:p w14:paraId="0BDDD52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评审要求：</w:t>
      </w:r>
    </w:p>
    <w:p w14:paraId="5A3987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《运维项目管理计划》需提交运维部经理、运维业务线及质量部评审。</w:t>
      </w:r>
    </w:p>
    <w:p w14:paraId="222D50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确保项目人员、过程、资源和工具与SLA要求相匹配。</w:t>
      </w:r>
    </w:p>
    <w:p w14:paraId="4F1F9B6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计划发布</w:t>
      </w:r>
    </w:p>
    <w:p w14:paraId="1DC984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评审通过后，通知项目组成员及相关干系人。</w:t>
      </w:r>
    </w:p>
    <w:p w14:paraId="78948BB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项目实施管理</w:t>
      </w:r>
    </w:p>
    <w:p w14:paraId="46C0E0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团队组建：</w:t>
      </w:r>
    </w:p>
    <w:p w14:paraId="61C1D0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项目经理根据计划组建项目团队，明确职责和汇报关系。</w:t>
      </w:r>
    </w:p>
    <w:p w14:paraId="799C29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制定培训计划，提升团队能力。</w:t>
      </w:r>
    </w:p>
    <w:p w14:paraId="7202BF7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过程执行：</w:t>
      </w:r>
    </w:p>
    <w:p w14:paraId="343671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按SLA要求实施项目，协调资源和人力。</w:t>
      </w:r>
    </w:p>
    <w:p w14:paraId="0762BA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遵循流程制度和作业指导书，保留工作记录。</w:t>
      </w:r>
    </w:p>
    <w:p w14:paraId="0C4B6D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记录关键服务信息，按时提交服务报告。</w:t>
      </w:r>
    </w:p>
    <w:p w14:paraId="5007A7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，及时归档文件，分享经验。</w:t>
      </w:r>
    </w:p>
    <w:p w14:paraId="37C16B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确保操作符合安全要求，及时处理风险。</w:t>
      </w:r>
    </w:p>
    <w:p w14:paraId="78D23DD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项目交付方式管理</w:t>
      </w:r>
    </w:p>
    <w:p w14:paraId="1C84B9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现场交付流程</w:t>
      </w:r>
    </w:p>
    <w:p w14:paraId="01BD1B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信息收集：了解客户需求、前期支持和遗留问题。</w:t>
      </w:r>
    </w:p>
    <w:p w14:paraId="1C254E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预案制定：形成处理预案，制定风险应急预案。</w:t>
      </w:r>
    </w:p>
    <w:p w14:paraId="1F95C4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资源准备：准备资料和工具，做好安全防范。</w:t>
      </w:r>
    </w:p>
    <w:p w14:paraId="7A8492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现场执行：向客户说明服务内容，按预案作业。</w:t>
      </w:r>
    </w:p>
    <w:p w14:paraId="08BFC1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问题处理：遗留问题制定处理方案，客户确认。</w:t>
      </w:r>
    </w:p>
    <w:p w14:paraId="45B291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验收确认：客户签署服务单，恢复现场环境。</w:t>
      </w:r>
    </w:p>
    <w:p w14:paraId="66EE10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报告归档：提交《现场服务报告单》，完成满意度调查。</w:t>
      </w:r>
    </w:p>
    <w:p w14:paraId="606B91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远程交付流程</w:t>
      </w:r>
    </w:p>
    <w:p w14:paraId="5DE662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信息收集：确认交付内容和客户要求。</w:t>
      </w:r>
    </w:p>
    <w:p w14:paraId="3EC8417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预案制定：制定处理预案和风险应急预案。</w:t>
      </w:r>
    </w:p>
    <w:p w14:paraId="57432B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条件验证：验证远程交付条件的稳定性和安全性。</w:t>
      </w:r>
    </w:p>
    <w:p w14:paraId="47F341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远程执行：按约定时间提供服务，告知风险。</w:t>
      </w:r>
    </w:p>
    <w:p w14:paraId="54D07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问题处理：记录遗留问题，制定处理计划。</w:t>
      </w:r>
    </w:p>
    <w:p w14:paraId="7731C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验收确认：客户确认成果，断开连接。</w:t>
      </w:r>
    </w:p>
    <w:p w14:paraId="63BAD3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报告归档：完善服务记录，完成满意度回访。</w:t>
      </w:r>
    </w:p>
    <w:p w14:paraId="53CFC4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项目验收管理</w:t>
      </w:r>
    </w:p>
    <w:p w14:paraId="33ECAE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内部验收：</w:t>
      </w:r>
    </w:p>
    <w:p w14:paraId="758D26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项目结束一个月内，项目组向质量部提出验收申请。</w:t>
      </w:r>
    </w:p>
    <w:p w14:paraId="398C64C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提交项目验收文档和SLA达成自评记录。</w:t>
      </w:r>
    </w:p>
    <w:p w14:paraId="081163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质量部结合客户满意度调查结果进行评估。</w:t>
      </w:r>
    </w:p>
    <w:p w14:paraId="50E6CAF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客户验收：</w:t>
      </w:r>
    </w:p>
    <w:p w14:paraId="6633D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按合同约定时间推进客户验收。</w:t>
      </w:r>
    </w:p>
    <w:p w14:paraId="66B691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初验存在遗留问题的，在终验前解决落实。</w:t>
      </w:r>
    </w:p>
    <w:p w14:paraId="06A117D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交付成果管理</w:t>
      </w:r>
    </w:p>
    <w:p w14:paraId="03BE011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例行操作成果</w:t>
      </w:r>
    </w:p>
    <w:p w14:paraId="40CD13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运行状态信息记录、异常处理记录、趋势分析报告、配置信息记录、满意度报告。</w:t>
      </w:r>
    </w:p>
    <w:p w14:paraId="1C1435C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应急响应成果</w:t>
      </w:r>
    </w:p>
    <w:p w14:paraId="41DC7F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响应支持记录、关键指标数据、重大事件分析报告、配置更新记录。</w:t>
      </w:r>
    </w:p>
    <w:p w14:paraId="6D6DB21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优化改善成果</w:t>
      </w:r>
    </w:p>
    <w:p w14:paraId="53735E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优化方案及评审记录、实施方案、变更和发布报告、配置更新记录。</w:t>
      </w:r>
    </w:p>
    <w:p w14:paraId="44DAF3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调研评估成果</w:t>
      </w:r>
    </w:p>
    <w:p w14:paraId="4B6D98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调研计划书、分析报告、规划方案建议及评审记录。</w:t>
      </w:r>
    </w:p>
    <w:p w14:paraId="13ED9A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关键控制点与测量指标</w:t>
      </w:r>
    </w:p>
    <w:p w14:paraId="00CC5C1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关键控制点</w:t>
      </w:r>
    </w:p>
    <w:p w14:paraId="10E8BC6F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所有项目必须经过正式立项和计划评审。</w:t>
      </w:r>
    </w:p>
    <w:p w14:paraId="25CCBC93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项目交付必须严格按照SLA要求执行。</w:t>
      </w:r>
    </w:p>
    <w:p w14:paraId="61192F0E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项目验收必须包括内部验收和客户验收。</w:t>
      </w:r>
    </w:p>
    <w:p w14:paraId="7338E1D1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项目交付成果必须完整归档。</w:t>
      </w:r>
    </w:p>
    <w:p w14:paraId="05F117FD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客户满意度必须定期调查和分析。</w:t>
      </w:r>
    </w:p>
    <w:p w14:paraId="6BEAFEB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衡量指标管理</w:t>
      </w:r>
    </w:p>
    <w:p w14:paraId="0F7564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为衡量</w:t>
      </w:r>
      <w:r>
        <w:rPr>
          <w:rFonts w:hint="eastAsia"/>
          <w:lang w:val="en-US" w:eastAsia="zh-CN"/>
        </w:rPr>
        <w:t>运维交付</w:t>
      </w:r>
      <w:r>
        <w:rPr>
          <w:rFonts w:hint="default"/>
          <w:lang w:val="en-US" w:eastAsia="zh-CN"/>
        </w:rPr>
        <w:t>成效，设定以下核心考核指标：</w:t>
      </w:r>
      <w:r>
        <w:rPr>
          <w:rFonts w:hint="eastAsia"/>
          <w:lang w:val="en-US" w:eastAsia="zh-CN"/>
        </w:rPr>
        <w:t>如表4-1所示</w:t>
      </w:r>
    </w:p>
    <w:p w14:paraId="2EBFAD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关键绩效指标表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387"/>
        <w:gridCol w:w="4089"/>
        <w:gridCol w:w="1107"/>
        <w:gridCol w:w="1094"/>
      </w:tblGrid>
      <w:tr w14:paraId="0DF3A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0F3BE4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387" w:type="dxa"/>
          </w:tcPr>
          <w:p w14:paraId="28F79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4089" w:type="dxa"/>
          </w:tcPr>
          <w:p w14:paraId="66256F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313D7B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7583A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0F5B8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13B0B5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7" w:type="dxa"/>
            <w:vAlign w:val="top"/>
          </w:tcPr>
          <w:p w14:paraId="1E841C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交付及时率</w:t>
            </w:r>
          </w:p>
        </w:tc>
        <w:tc>
          <w:tcPr>
            <w:tcW w:w="4089" w:type="dxa"/>
            <w:vAlign w:val="top"/>
          </w:tcPr>
          <w:p w14:paraId="1BD91A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及时交付数量/总交付数量*100%</w:t>
            </w:r>
          </w:p>
        </w:tc>
        <w:tc>
          <w:tcPr>
            <w:tcW w:w="1107" w:type="dxa"/>
            <w:vAlign w:val="top"/>
          </w:tcPr>
          <w:p w14:paraId="2FCE6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季度</w:t>
            </w:r>
          </w:p>
        </w:tc>
        <w:tc>
          <w:tcPr>
            <w:tcW w:w="1094" w:type="dxa"/>
            <w:vAlign w:val="top"/>
          </w:tcPr>
          <w:p w14:paraId="55CD9B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≥95%</w:t>
            </w:r>
          </w:p>
        </w:tc>
      </w:tr>
    </w:tbl>
    <w:p w14:paraId="3893079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</w:p>
    <w:bookmarkEnd w:id="2"/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1270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A7AA2"/>
    <w:multiLevelType w:val="singleLevel"/>
    <w:tmpl w:val="81CA7A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0B4333A"/>
    <w:multiLevelType w:val="singleLevel"/>
    <w:tmpl w:val="90B433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2DAFF8E"/>
    <w:multiLevelType w:val="singleLevel"/>
    <w:tmpl w:val="B2DAFF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BC41878"/>
    <w:multiLevelType w:val="singleLevel"/>
    <w:tmpl w:val="CBC418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94862E"/>
    <w:multiLevelType w:val="singleLevel"/>
    <w:tmpl w:val="DB9486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D79E9CC"/>
    <w:multiLevelType w:val="singleLevel"/>
    <w:tmpl w:val="0D79E9C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8948D5D"/>
    <w:multiLevelType w:val="singleLevel"/>
    <w:tmpl w:val="58948D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4"/>
  </w:num>
  <w:num w:numId="5">
    <w:abstractNumId w:val="2"/>
  </w:num>
  <w:num w:numId="6">
    <w:abstractNumId w:val="0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3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0104303E"/>
    <w:rsid w:val="015679D0"/>
    <w:rsid w:val="01944D24"/>
    <w:rsid w:val="01C56903"/>
    <w:rsid w:val="01E07299"/>
    <w:rsid w:val="0211124F"/>
    <w:rsid w:val="029C58B6"/>
    <w:rsid w:val="02CE3596"/>
    <w:rsid w:val="02EA4873"/>
    <w:rsid w:val="040604A9"/>
    <w:rsid w:val="04146C84"/>
    <w:rsid w:val="051E0804"/>
    <w:rsid w:val="056A253B"/>
    <w:rsid w:val="05980692"/>
    <w:rsid w:val="073D05DE"/>
    <w:rsid w:val="07660A33"/>
    <w:rsid w:val="07D01B5E"/>
    <w:rsid w:val="080D4B60"/>
    <w:rsid w:val="0910079B"/>
    <w:rsid w:val="09975029"/>
    <w:rsid w:val="09D65B51"/>
    <w:rsid w:val="09F2400E"/>
    <w:rsid w:val="09FC6C3A"/>
    <w:rsid w:val="0ACB4F8A"/>
    <w:rsid w:val="0ADB1217"/>
    <w:rsid w:val="0CF12BAD"/>
    <w:rsid w:val="0E772D33"/>
    <w:rsid w:val="0F4F57A4"/>
    <w:rsid w:val="0FD115EF"/>
    <w:rsid w:val="0FF3288D"/>
    <w:rsid w:val="10E072B6"/>
    <w:rsid w:val="120533DA"/>
    <w:rsid w:val="127C6B6A"/>
    <w:rsid w:val="129C720C"/>
    <w:rsid w:val="12FE2BED"/>
    <w:rsid w:val="130628D8"/>
    <w:rsid w:val="131B2827"/>
    <w:rsid w:val="13255454"/>
    <w:rsid w:val="13525B1D"/>
    <w:rsid w:val="139879D4"/>
    <w:rsid w:val="13D604FC"/>
    <w:rsid w:val="14B42767"/>
    <w:rsid w:val="15CC7E09"/>
    <w:rsid w:val="15EC2259"/>
    <w:rsid w:val="1665226C"/>
    <w:rsid w:val="16B0772A"/>
    <w:rsid w:val="170D06D9"/>
    <w:rsid w:val="17103D25"/>
    <w:rsid w:val="17710C68"/>
    <w:rsid w:val="17BE19D3"/>
    <w:rsid w:val="17DF25E3"/>
    <w:rsid w:val="18846779"/>
    <w:rsid w:val="18F465E3"/>
    <w:rsid w:val="19E020D4"/>
    <w:rsid w:val="1A9923D9"/>
    <w:rsid w:val="1B794B43"/>
    <w:rsid w:val="1BC709D8"/>
    <w:rsid w:val="1D997E65"/>
    <w:rsid w:val="1E672DC4"/>
    <w:rsid w:val="1E692834"/>
    <w:rsid w:val="1EFD1033"/>
    <w:rsid w:val="1FCB1131"/>
    <w:rsid w:val="201523AC"/>
    <w:rsid w:val="20D91840"/>
    <w:rsid w:val="215C6FE4"/>
    <w:rsid w:val="225A150C"/>
    <w:rsid w:val="225F78FB"/>
    <w:rsid w:val="23A26E72"/>
    <w:rsid w:val="23DD436C"/>
    <w:rsid w:val="23FD59BD"/>
    <w:rsid w:val="241A2687"/>
    <w:rsid w:val="24A86B8C"/>
    <w:rsid w:val="26AB75C6"/>
    <w:rsid w:val="26BB5A5B"/>
    <w:rsid w:val="26C427F2"/>
    <w:rsid w:val="2908648D"/>
    <w:rsid w:val="294F2DD3"/>
    <w:rsid w:val="2975663E"/>
    <w:rsid w:val="2A8B6C6D"/>
    <w:rsid w:val="2AD01CF1"/>
    <w:rsid w:val="2B612949"/>
    <w:rsid w:val="2B9B5E5B"/>
    <w:rsid w:val="2BD17ACF"/>
    <w:rsid w:val="2BF13CCD"/>
    <w:rsid w:val="2DDB740F"/>
    <w:rsid w:val="2E500F2E"/>
    <w:rsid w:val="2E6B53DA"/>
    <w:rsid w:val="2EBF4EEA"/>
    <w:rsid w:val="2F041F69"/>
    <w:rsid w:val="2FC11C09"/>
    <w:rsid w:val="2FC31E25"/>
    <w:rsid w:val="303421D9"/>
    <w:rsid w:val="3034687E"/>
    <w:rsid w:val="333746BC"/>
    <w:rsid w:val="338813BB"/>
    <w:rsid w:val="34060A77"/>
    <w:rsid w:val="342F247D"/>
    <w:rsid w:val="346C0F8D"/>
    <w:rsid w:val="348576A9"/>
    <w:rsid w:val="34CC177B"/>
    <w:rsid w:val="350D601C"/>
    <w:rsid w:val="35DE67BA"/>
    <w:rsid w:val="36883480"/>
    <w:rsid w:val="36914A2B"/>
    <w:rsid w:val="3699743B"/>
    <w:rsid w:val="375F2433"/>
    <w:rsid w:val="37971BCD"/>
    <w:rsid w:val="37D1267C"/>
    <w:rsid w:val="37DF17C6"/>
    <w:rsid w:val="37E666B0"/>
    <w:rsid w:val="37F214F9"/>
    <w:rsid w:val="3914549F"/>
    <w:rsid w:val="3A706705"/>
    <w:rsid w:val="3B7B47DC"/>
    <w:rsid w:val="3C265C15"/>
    <w:rsid w:val="3D5F4115"/>
    <w:rsid w:val="3E287A22"/>
    <w:rsid w:val="3E5A3954"/>
    <w:rsid w:val="3F2D2E17"/>
    <w:rsid w:val="3F312907"/>
    <w:rsid w:val="3FB11C9A"/>
    <w:rsid w:val="40646D0C"/>
    <w:rsid w:val="40873B7A"/>
    <w:rsid w:val="40B11D0C"/>
    <w:rsid w:val="412A5860"/>
    <w:rsid w:val="41DA54D8"/>
    <w:rsid w:val="426164FC"/>
    <w:rsid w:val="429A4BCE"/>
    <w:rsid w:val="43223C0F"/>
    <w:rsid w:val="4368266F"/>
    <w:rsid w:val="43996CCD"/>
    <w:rsid w:val="45EE5265"/>
    <w:rsid w:val="46BF2EEE"/>
    <w:rsid w:val="472B0583"/>
    <w:rsid w:val="47743CD8"/>
    <w:rsid w:val="47BB1907"/>
    <w:rsid w:val="483C3E0E"/>
    <w:rsid w:val="484F2050"/>
    <w:rsid w:val="48FA020D"/>
    <w:rsid w:val="49B33C44"/>
    <w:rsid w:val="49CC1B61"/>
    <w:rsid w:val="4AAB1755"/>
    <w:rsid w:val="4B6D3EB8"/>
    <w:rsid w:val="4B7F49FA"/>
    <w:rsid w:val="4BFB76A0"/>
    <w:rsid w:val="4D1711C1"/>
    <w:rsid w:val="4E0B149B"/>
    <w:rsid w:val="4EF474AD"/>
    <w:rsid w:val="4F6F1974"/>
    <w:rsid w:val="4F703503"/>
    <w:rsid w:val="503F29AA"/>
    <w:rsid w:val="50BE0A71"/>
    <w:rsid w:val="511C5981"/>
    <w:rsid w:val="51D84E64"/>
    <w:rsid w:val="51F0261E"/>
    <w:rsid w:val="53733096"/>
    <w:rsid w:val="5486504B"/>
    <w:rsid w:val="54A352DF"/>
    <w:rsid w:val="54CB7E3C"/>
    <w:rsid w:val="5563618E"/>
    <w:rsid w:val="55E91919"/>
    <w:rsid w:val="5632548A"/>
    <w:rsid w:val="58432103"/>
    <w:rsid w:val="58675193"/>
    <w:rsid w:val="5A6610C0"/>
    <w:rsid w:val="5A76346C"/>
    <w:rsid w:val="5B0B0058"/>
    <w:rsid w:val="5B85605C"/>
    <w:rsid w:val="5C6D3D3E"/>
    <w:rsid w:val="5D0D6A04"/>
    <w:rsid w:val="5D2E6280"/>
    <w:rsid w:val="5D5E4DB7"/>
    <w:rsid w:val="5D6677C8"/>
    <w:rsid w:val="5DEA5B19"/>
    <w:rsid w:val="5E0A4760"/>
    <w:rsid w:val="5E2C27BF"/>
    <w:rsid w:val="5E6A32E8"/>
    <w:rsid w:val="5EFB71CC"/>
    <w:rsid w:val="5F7F1015"/>
    <w:rsid w:val="5FB962D5"/>
    <w:rsid w:val="613E7799"/>
    <w:rsid w:val="6200643D"/>
    <w:rsid w:val="62220BFC"/>
    <w:rsid w:val="62312EF8"/>
    <w:rsid w:val="62C0797A"/>
    <w:rsid w:val="640721AA"/>
    <w:rsid w:val="641F6922"/>
    <w:rsid w:val="652A5B5F"/>
    <w:rsid w:val="657F3B1C"/>
    <w:rsid w:val="659C092C"/>
    <w:rsid w:val="65C43C25"/>
    <w:rsid w:val="66263F98"/>
    <w:rsid w:val="66DC6D4D"/>
    <w:rsid w:val="678C0773"/>
    <w:rsid w:val="67B03535"/>
    <w:rsid w:val="68804644"/>
    <w:rsid w:val="68C04838"/>
    <w:rsid w:val="698F3ABF"/>
    <w:rsid w:val="69DB53BE"/>
    <w:rsid w:val="6BAD2A66"/>
    <w:rsid w:val="6BF30DC0"/>
    <w:rsid w:val="6C8B0FF9"/>
    <w:rsid w:val="6D834437"/>
    <w:rsid w:val="6DB46CBB"/>
    <w:rsid w:val="6E2E7E8E"/>
    <w:rsid w:val="6E6623CD"/>
    <w:rsid w:val="6F887A72"/>
    <w:rsid w:val="70F73101"/>
    <w:rsid w:val="711772FF"/>
    <w:rsid w:val="713003C1"/>
    <w:rsid w:val="7141437C"/>
    <w:rsid w:val="73593BFF"/>
    <w:rsid w:val="73644352"/>
    <w:rsid w:val="73C7661F"/>
    <w:rsid w:val="73E7745D"/>
    <w:rsid w:val="74055B35"/>
    <w:rsid w:val="74147B26"/>
    <w:rsid w:val="75C57255"/>
    <w:rsid w:val="763E532E"/>
    <w:rsid w:val="768C6099"/>
    <w:rsid w:val="76960176"/>
    <w:rsid w:val="76B4114C"/>
    <w:rsid w:val="76F6721A"/>
    <w:rsid w:val="776C1A27"/>
    <w:rsid w:val="783E1615"/>
    <w:rsid w:val="787A63F2"/>
    <w:rsid w:val="78CA2EA9"/>
    <w:rsid w:val="78D1021F"/>
    <w:rsid w:val="7A1940E8"/>
    <w:rsid w:val="7A2F7467"/>
    <w:rsid w:val="7A3C1B84"/>
    <w:rsid w:val="7ACF0C4A"/>
    <w:rsid w:val="7B334E2A"/>
    <w:rsid w:val="7B4E6013"/>
    <w:rsid w:val="7B5C70B9"/>
    <w:rsid w:val="7C066719"/>
    <w:rsid w:val="7C434C07"/>
    <w:rsid w:val="7D0C7F34"/>
    <w:rsid w:val="7DA168CE"/>
    <w:rsid w:val="7DBD664D"/>
    <w:rsid w:val="7DE06CCB"/>
    <w:rsid w:val="7DF905A7"/>
    <w:rsid w:val="7E086FD3"/>
    <w:rsid w:val="7ED72A0A"/>
    <w:rsid w:val="7EE864C5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2234</Words>
  <Characters>2395</Characters>
  <Lines>0</Lines>
  <Paragraphs>0</Paragraphs>
  <TotalTime>0</TotalTime>
  <ScaleCrop>false</ScaleCrop>
  <LinksUpToDate>false</LinksUpToDate>
  <CharactersWithSpaces>2460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2025-10-26T15:16:32Z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