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default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电子签名</w:t>
      </w:r>
      <w:bookmarkEnd w:id="1"/>
      <w:r>
        <w:rPr>
          <w:rFonts w:hint="eastAsia"/>
          <w:lang w:val="en-US" w:eastAsia="zh-CN"/>
        </w:rPr>
        <w:t>采购合同项目实施方案</w:t>
      </w:r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2025.06.20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2025.06.20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2025.06.20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131C50C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项目概述</w:t>
      </w:r>
    </w:p>
    <w:p w14:paraId="53DC356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方案旨在规划与指导“电子签名设备采购项目”的实施，确保所有工作严格遵循双方签订的《设备采购合同》条款，按期、保质、保量地完成软硬件交付、系统集成、培训与验收，并履行合同约定的长期运维服务承诺。</w:t>
      </w:r>
    </w:p>
    <w:p w14:paraId="17890DDF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项目实施总体规划</w:t>
      </w:r>
    </w:p>
    <w:p w14:paraId="53B0EB8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本项目实施自合同签订之日起，计划在90天内完成交付与验收，整体分为五个连续阶段：</w:t>
      </w:r>
    </w:p>
    <w:p w14:paraId="0A54F62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项目启动与规划（第1周）</w:t>
      </w:r>
    </w:p>
    <w:p w14:paraId="232F959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设备采购与预备（第2-4周）</w:t>
      </w:r>
    </w:p>
    <w:p w14:paraId="0054B75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部署、调试与集成（第5-9周）</w:t>
      </w:r>
    </w:p>
    <w:p w14:paraId="44CC382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测试、培训与试运行（第10-11周）</w:t>
      </w:r>
    </w:p>
    <w:p w14:paraId="1B8E3C0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项目验收与移交（第12周及以后）</w:t>
      </w:r>
    </w:p>
    <w:p w14:paraId="5123CBF8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分阶段实施内容</w:t>
      </w:r>
    </w:p>
    <w:p w14:paraId="7E2BF41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项目启动与规划</w:t>
      </w:r>
    </w:p>
    <w:p w14:paraId="116B6BB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合同澄清与会签：与甲方召开项目启动会，首要澄清合同付款条款的歧义，明确最终付款条件与比例。同时，确认并书面记录交付地点。</w:t>
      </w:r>
    </w:p>
    <w:p w14:paraId="5CC7C95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团队组建与报审：成立项目部，任命符合合同要求的项目经理及成员，并向甲方提交人员名单、资质证明供审核确认。</w:t>
      </w:r>
    </w:p>
    <w:p w14:paraId="4C29729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计划文档编制与提交：编制并提交《详细项目计划》、《实施方案》、《应急预案》、《安全责任书》、《质量管理计划》及《培训计划》等，供甲方审定。</w:t>
      </w:r>
    </w:p>
    <w:p w14:paraId="594AF034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设备采购与预备</w:t>
      </w:r>
    </w:p>
    <w:p w14:paraId="5F5DB2C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采购与生产：启动合同清单内所有硬件设备的采购与软件许可的准备。</w:t>
      </w:r>
    </w:p>
    <w:p w14:paraId="12EF200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到货与自检：设备到货后，进行内部开箱验货与质量自检，确保型号、数量、配置与合同完全一致，并备齐产品合格证、质检报告、原厂质保证明等文件。</w:t>
      </w:r>
    </w:p>
    <w:p w14:paraId="696DD88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环境协调：与甲方IT部门协作，确认机房、网络、电力等部署环境准备就绪。</w:t>
      </w:r>
    </w:p>
    <w:p w14:paraId="74365E95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部署、调试与集成</w:t>
      </w:r>
    </w:p>
    <w:p w14:paraId="36A4CE6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硬件部署：在甲方指定地点，完成服务器、签名屏等所有硬件设备的安装与加电调试。</w:t>
      </w:r>
    </w:p>
    <w:p w14:paraId="37A26FF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软件部署：部署移动电子签名系统、API、管理后台等所有软件，完成系统初始化配置。</w:t>
      </w:r>
    </w:p>
    <w:p w14:paraId="7EFBADD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系统集成与对接：严格按照技术规范，完成与微信开放平台、CA认证机构、国家授时中心及甲方现有信息系统的接口对接与联调测试，确保业务连通。</w:t>
      </w:r>
    </w:p>
    <w:p w14:paraId="7B23147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文档同步更新：在每次系统升级或配置变更后5个工作日内，同步更新所有技术文档，确保文档与系统实际状况一致。</w:t>
      </w:r>
    </w:p>
    <w:p w14:paraId="5837AA0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测试、培训与试运行</w:t>
      </w:r>
    </w:p>
    <w:p w14:paraId="08899B8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全面测试：进行系统的功能、性能、安全性及用户验收测试（UAT），确保系统稳定可靠。</w:t>
      </w:r>
    </w:p>
    <w:p w14:paraId="2B02B4E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实施培训：</w:t>
      </w:r>
    </w:p>
    <w:p w14:paraId="5BAAEB6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依据已审批的《培训计划》，采用远程培训方式，对甲方操作及维护人员进行全面培训。</w:t>
      </w:r>
    </w:p>
    <w:p w14:paraId="2EE49DA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严格履行合同承诺，在质保期内每季度提供不少于3次培训，确保培训效果达到合同约定标准，并形成完整的培训记录资料。</w:t>
      </w:r>
    </w:p>
    <w:p w14:paraId="390D06D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安排试用：启动为期30个日历日的系统试用期，积极收集甲方用户反馈，并及时对系统进行调整与优化，确保产品符合甲方需求。</w:t>
      </w:r>
    </w:p>
    <w:p w14:paraId="56ED3007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项目验收与移交</w:t>
      </w:r>
    </w:p>
    <w:p w14:paraId="3BDCD8A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验收准备：向甲方提交《项目竣工验收报告》及合同要求的全套项目文档，包括纸质版与电子版各4套。</w:t>
      </w:r>
    </w:p>
    <w:p w14:paraId="147618B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正式验收：配合甲方组织项目验收会，依据合同及国家、行业标准进行验收，双方共同签署验收报告。</w:t>
      </w:r>
    </w:p>
    <w:p w14:paraId="1D6C981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项目移交与结算：</w:t>
      </w:r>
    </w:p>
    <w:p w14:paraId="6F03A0C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系统正式进入为期5年的质保、维保和运维期。</w:t>
      </w:r>
    </w:p>
    <w:p w14:paraId="094F40B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按合同约定向甲方出具质量保函。</w:t>
      </w:r>
    </w:p>
    <w:p w14:paraId="76D2E44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积极配合甲方完成以第三方审计报告为依据的最终项目结算工作。</w:t>
      </w:r>
    </w:p>
    <w:p w14:paraId="5171727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知识产权移交：确认并将项目实施过程中产生所有新成果（包括知识产权）的所有权移交给甲方。</w:t>
      </w:r>
    </w:p>
    <w:p w14:paraId="1DE6FEAA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资源与保障措施</w:t>
      </w:r>
    </w:p>
    <w:p w14:paraId="4A48273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团队保障：配备稳定的、具备三年以上卫生健康信息化经验的项目团队，确保项目实施的连续性与专业性。</w:t>
      </w:r>
    </w:p>
    <w:p w14:paraId="502FAE5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运维保障：</w:t>
      </w:r>
      <w:bookmarkStart w:id="2" w:name="_GoBack"/>
      <w:bookmarkEnd w:id="2"/>
      <w:r>
        <w:rPr>
          <w:rFonts w:hint="default"/>
          <w:lang w:val="en-US" w:eastAsia="zh-CN"/>
        </w:rPr>
        <w:t>建立并执行“7x24”小时故障响应机制，确保10分钟内响应，30分钟内派工程师到达现场，2小时内解决故障。</w:t>
      </w:r>
    </w:p>
    <w:p w14:paraId="38C122F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在5年服务期内，建立并运行完备的运维管理体系，涵盖事件、问题、变更、资产等服务管理流程。</w:t>
      </w:r>
    </w:p>
    <w:p w14:paraId="707F91F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质量与文档保障：严格执行质量管控流程，确保所有交付物合格。对项目实施全过程进行文档记录与管理，形成完整项目档案，以备审计与追溯。</w:t>
      </w:r>
    </w:p>
    <w:p w14:paraId="527983D1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风险与应对策略</w:t>
      </w:r>
    </w:p>
    <w:p w14:paraId="65268F0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合同歧义风险：重点关注付款条款的模糊表述。</w:t>
      </w:r>
    </w:p>
    <w:p w14:paraId="54A3619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应对：在项目启动阶段，将其作为首要议题与甲方进行书面澄清，形成备忘录。</w:t>
      </w:r>
    </w:p>
    <w:p w14:paraId="79C6251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范围蔓延风险：甲方可能提出合同附件清单外的需求。</w:t>
      </w:r>
    </w:p>
    <w:p w14:paraId="7BB462B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应对：严格执行合同范围，任何超出范围的交付需求，必须要求甲方出具书面变更通知，并双方确认变更流程。</w:t>
      </w:r>
    </w:p>
    <w:p w14:paraId="4D3B369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工期延误风险：因系统集成复杂度高、甲方审批流程长等因素导致延期。</w:t>
      </w:r>
    </w:p>
    <w:p w14:paraId="7C68513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应对：制定详尽的进度计划并预留缓冲时间；保持与甲方的定期、主动沟通，提前识别并预警潜在延误风险。</w:t>
      </w:r>
    </w:p>
    <w:p w14:paraId="37209E8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长期运维成本风险：5年免费运维、升级、对接可能导致成本超支。</w:t>
      </w:r>
    </w:p>
    <w:p w14:paraId="3893079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应对：在项目预算中充分预估长期运维人力及资源成本；建立高效的远程支持与自动化运维能力，以控制现场服务成本。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41F1A4E"/>
    <w:multiLevelType w:val="singleLevel"/>
    <w:tmpl w:val="E41F1A4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5679D0"/>
    <w:rsid w:val="01944D24"/>
    <w:rsid w:val="01C56903"/>
    <w:rsid w:val="01E07299"/>
    <w:rsid w:val="0211124F"/>
    <w:rsid w:val="029C58B6"/>
    <w:rsid w:val="02CE3596"/>
    <w:rsid w:val="02EA4873"/>
    <w:rsid w:val="040604A9"/>
    <w:rsid w:val="04146C84"/>
    <w:rsid w:val="051E0804"/>
    <w:rsid w:val="056A253B"/>
    <w:rsid w:val="05926AFC"/>
    <w:rsid w:val="05975F9E"/>
    <w:rsid w:val="05980692"/>
    <w:rsid w:val="073D05DE"/>
    <w:rsid w:val="07660A33"/>
    <w:rsid w:val="07D01B5E"/>
    <w:rsid w:val="080D4B60"/>
    <w:rsid w:val="0910079B"/>
    <w:rsid w:val="09975029"/>
    <w:rsid w:val="09D65B51"/>
    <w:rsid w:val="09F2400E"/>
    <w:rsid w:val="09FC6C3A"/>
    <w:rsid w:val="0ACB4F8A"/>
    <w:rsid w:val="0ADB1217"/>
    <w:rsid w:val="0B696551"/>
    <w:rsid w:val="0CF12B59"/>
    <w:rsid w:val="0CF12BAD"/>
    <w:rsid w:val="0E772D33"/>
    <w:rsid w:val="0F4F57A4"/>
    <w:rsid w:val="0FD115EF"/>
    <w:rsid w:val="0FF3288D"/>
    <w:rsid w:val="10E072B6"/>
    <w:rsid w:val="120533DA"/>
    <w:rsid w:val="127C6B6A"/>
    <w:rsid w:val="129C720C"/>
    <w:rsid w:val="12FE2BED"/>
    <w:rsid w:val="130628D8"/>
    <w:rsid w:val="131B2827"/>
    <w:rsid w:val="13255454"/>
    <w:rsid w:val="13525B1D"/>
    <w:rsid w:val="139879D4"/>
    <w:rsid w:val="13D604FC"/>
    <w:rsid w:val="14B42767"/>
    <w:rsid w:val="15CC7E09"/>
    <w:rsid w:val="15EC2259"/>
    <w:rsid w:val="1665226C"/>
    <w:rsid w:val="16B0772A"/>
    <w:rsid w:val="170D06D9"/>
    <w:rsid w:val="17103D25"/>
    <w:rsid w:val="17710C68"/>
    <w:rsid w:val="17BE19D3"/>
    <w:rsid w:val="17DF25E3"/>
    <w:rsid w:val="18846779"/>
    <w:rsid w:val="18F465E3"/>
    <w:rsid w:val="19863325"/>
    <w:rsid w:val="19E020D4"/>
    <w:rsid w:val="1A9923D9"/>
    <w:rsid w:val="1B794B43"/>
    <w:rsid w:val="1BC709D8"/>
    <w:rsid w:val="1C204FC6"/>
    <w:rsid w:val="1D997E65"/>
    <w:rsid w:val="1E250DE6"/>
    <w:rsid w:val="1E672DC4"/>
    <w:rsid w:val="1E692834"/>
    <w:rsid w:val="1EFD1033"/>
    <w:rsid w:val="1FCB1131"/>
    <w:rsid w:val="201523AC"/>
    <w:rsid w:val="20D91840"/>
    <w:rsid w:val="215C6FE4"/>
    <w:rsid w:val="225A150C"/>
    <w:rsid w:val="225F78FB"/>
    <w:rsid w:val="23A26E72"/>
    <w:rsid w:val="23DD436C"/>
    <w:rsid w:val="23DF51AB"/>
    <w:rsid w:val="23FD59BD"/>
    <w:rsid w:val="241A2687"/>
    <w:rsid w:val="24A86B8C"/>
    <w:rsid w:val="26AB75C6"/>
    <w:rsid w:val="26BB5A5B"/>
    <w:rsid w:val="26C427F2"/>
    <w:rsid w:val="2908648D"/>
    <w:rsid w:val="294F2DD3"/>
    <w:rsid w:val="2975663E"/>
    <w:rsid w:val="2A8B6C6D"/>
    <w:rsid w:val="2AD01CF1"/>
    <w:rsid w:val="2B0674C1"/>
    <w:rsid w:val="2B612949"/>
    <w:rsid w:val="2B9B5E5B"/>
    <w:rsid w:val="2BD17ACF"/>
    <w:rsid w:val="2BF13CCD"/>
    <w:rsid w:val="2DDB740F"/>
    <w:rsid w:val="2E500F2E"/>
    <w:rsid w:val="2E6B53DA"/>
    <w:rsid w:val="2EBF4EEA"/>
    <w:rsid w:val="2F041F69"/>
    <w:rsid w:val="2FC11C09"/>
    <w:rsid w:val="2FC31E25"/>
    <w:rsid w:val="303421D9"/>
    <w:rsid w:val="3034687E"/>
    <w:rsid w:val="333746BC"/>
    <w:rsid w:val="338813BB"/>
    <w:rsid w:val="34060A77"/>
    <w:rsid w:val="342F247D"/>
    <w:rsid w:val="346C0F8D"/>
    <w:rsid w:val="348576A9"/>
    <w:rsid w:val="34CC177B"/>
    <w:rsid w:val="350D601C"/>
    <w:rsid w:val="35DE67BA"/>
    <w:rsid w:val="36883480"/>
    <w:rsid w:val="36914A2B"/>
    <w:rsid w:val="3699743B"/>
    <w:rsid w:val="375F2433"/>
    <w:rsid w:val="37971BCD"/>
    <w:rsid w:val="37D1267C"/>
    <w:rsid w:val="37DF17C6"/>
    <w:rsid w:val="37E666B0"/>
    <w:rsid w:val="37F214F9"/>
    <w:rsid w:val="3914549F"/>
    <w:rsid w:val="3A706705"/>
    <w:rsid w:val="3B7B47DC"/>
    <w:rsid w:val="3C265C15"/>
    <w:rsid w:val="3D5F4115"/>
    <w:rsid w:val="3E287A22"/>
    <w:rsid w:val="3E5A3954"/>
    <w:rsid w:val="3F2D2E17"/>
    <w:rsid w:val="3F312907"/>
    <w:rsid w:val="3FB11C9A"/>
    <w:rsid w:val="40646D0C"/>
    <w:rsid w:val="40873B7A"/>
    <w:rsid w:val="40B11D0C"/>
    <w:rsid w:val="412A5860"/>
    <w:rsid w:val="41DA54D8"/>
    <w:rsid w:val="426164FC"/>
    <w:rsid w:val="42907749"/>
    <w:rsid w:val="429A4BCE"/>
    <w:rsid w:val="43223C0F"/>
    <w:rsid w:val="4368266F"/>
    <w:rsid w:val="43996CCD"/>
    <w:rsid w:val="45EE5265"/>
    <w:rsid w:val="46BF2EEE"/>
    <w:rsid w:val="472B0583"/>
    <w:rsid w:val="47743CD8"/>
    <w:rsid w:val="47BB1907"/>
    <w:rsid w:val="483C3E0E"/>
    <w:rsid w:val="484F2050"/>
    <w:rsid w:val="48FA020D"/>
    <w:rsid w:val="49B33C44"/>
    <w:rsid w:val="49CC1B61"/>
    <w:rsid w:val="4AAB1755"/>
    <w:rsid w:val="4B6D3EB8"/>
    <w:rsid w:val="4B7F49FA"/>
    <w:rsid w:val="4BFB76A0"/>
    <w:rsid w:val="4D1711C1"/>
    <w:rsid w:val="4E0B149B"/>
    <w:rsid w:val="4EF474AD"/>
    <w:rsid w:val="4F6F1974"/>
    <w:rsid w:val="4F703503"/>
    <w:rsid w:val="503F29AA"/>
    <w:rsid w:val="50854F5A"/>
    <w:rsid w:val="50BE0A71"/>
    <w:rsid w:val="511C5981"/>
    <w:rsid w:val="51D84E64"/>
    <w:rsid w:val="51F0261E"/>
    <w:rsid w:val="53733096"/>
    <w:rsid w:val="5486504B"/>
    <w:rsid w:val="54A352DF"/>
    <w:rsid w:val="54CB7E3C"/>
    <w:rsid w:val="5563618E"/>
    <w:rsid w:val="55E91919"/>
    <w:rsid w:val="56244B1C"/>
    <w:rsid w:val="5632548A"/>
    <w:rsid w:val="58432103"/>
    <w:rsid w:val="58675193"/>
    <w:rsid w:val="5943175D"/>
    <w:rsid w:val="5A6610C0"/>
    <w:rsid w:val="5A76346C"/>
    <w:rsid w:val="5B0B0058"/>
    <w:rsid w:val="5B85605C"/>
    <w:rsid w:val="5C6D3D3E"/>
    <w:rsid w:val="5D0D6A04"/>
    <w:rsid w:val="5D2E6280"/>
    <w:rsid w:val="5D5E4DB7"/>
    <w:rsid w:val="5D6677C8"/>
    <w:rsid w:val="5DEA5B19"/>
    <w:rsid w:val="5E0A4760"/>
    <w:rsid w:val="5E2C27BF"/>
    <w:rsid w:val="5E6247F0"/>
    <w:rsid w:val="5E6A32E8"/>
    <w:rsid w:val="5EFB71CC"/>
    <w:rsid w:val="5F7F1015"/>
    <w:rsid w:val="5FB962D5"/>
    <w:rsid w:val="5FDA1B16"/>
    <w:rsid w:val="613E7799"/>
    <w:rsid w:val="6200643D"/>
    <w:rsid w:val="62220BFC"/>
    <w:rsid w:val="62312EF8"/>
    <w:rsid w:val="62C0797A"/>
    <w:rsid w:val="640721AA"/>
    <w:rsid w:val="641F6922"/>
    <w:rsid w:val="652A5B5F"/>
    <w:rsid w:val="657213FC"/>
    <w:rsid w:val="657F3B1C"/>
    <w:rsid w:val="659C092C"/>
    <w:rsid w:val="65C43C25"/>
    <w:rsid w:val="66263F98"/>
    <w:rsid w:val="66DC6D4D"/>
    <w:rsid w:val="672B0320"/>
    <w:rsid w:val="678C0773"/>
    <w:rsid w:val="67B03535"/>
    <w:rsid w:val="6850035B"/>
    <w:rsid w:val="68804644"/>
    <w:rsid w:val="68C04838"/>
    <w:rsid w:val="698F3ABF"/>
    <w:rsid w:val="69DB53BE"/>
    <w:rsid w:val="6BAD2A66"/>
    <w:rsid w:val="6BF30DC0"/>
    <w:rsid w:val="6C4B6506"/>
    <w:rsid w:val="6C8B0FF9"/>
    <w:rsid w:val="6D834437"/>
    <w:rsid w:val="6DB46CBB"/>
    <w:rsid w:val="6E2E7E8E"/>
    <w:rsid w:val="6E6623CD"/>
    <w:rsid w:val="6F1843FB"/>
    <w:rsid w:val="6F887A72"/>
    <w:rsid w:val="70F73101"/>
    <w:rsid w:val="711772FF"/>
    <w:rsid w:val="713003C1"/>
    <w:rsid w:val="7141437C"/>
    <w:rsid w:val="73593BFF"/>
    <w:rsid w:val="73644352"/>
    <w:rsid w:val="73920083"/>
    <w:rsid w:val="73C7661F"/>
    <w:rsid w:val="73E7745D"/>
    <w:rsid w:val="74055B35"/>
    <w:rsid w:val="74147B26"/>
    <w:rsid w:val="74D3178F"/>
    <w:rsid w:val="74FD4A5E"/>
    <w:rsid w:val="75C57255"/>
    <w:rsid w:val="763E532E"/>
    <w:rsid w:val="768C6099"/>
    <w:rsid w:val="76960176"/>
    <w:rsid w:val="76B4114C"/>
    <w:rsid w:val="76F6721A"/>
    <w:rsid w:val="776C1A27"/>
    <w:rsid w:val="77760FF9"/>
    <w:rsid w:val="782849BC"/>
    <w:rsid w:val="783E1615"/>
    <w:rsid w:val="787A63F2"/>
    <w:rsid w:val="78CA2EA9"/>
    <w:rsid w:val="78D1021F"/>
    <w:rsid w:val="7A1940E8"/>
    <w:rsid w:val="7A2F7467"/>
    <w:rsid w:val="7A3C1B84"/>
    <w:rsid w:val="7ACF0C4A"/>
    <w:rsid w:val="7B334E2A"/>
    <w:rsid w:val="7B4E6013"/>
    <w:rsid w:val="7B5C70B9"/>
    <w:rsid w:val="7C066719"/>
    <w:rsid w:val="7C434C07"/>
    <w:rsid w:val="7D0C7F34"/>
    <w:rsid w:val="7DA168CE"/>
    <w:rsid w:val="7DBD664D"/>
    <w:rsid w:val="7DE06CCB"/>
    <w:rsid w:val="7DF905A7"/>
    <w:rsid w:val="7E086FD3"/>
    <w:rsid w:val="7ED72A0A"/>
    <w:rsid w:val="7EE864C5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2232</Words>
  <Characters>2393</Characters>
  <Lines>0</Lines>
  <Paragraphs>0</Paragraphs>
  <TotalTime>6</TotalTime>
  <ScaleCrop>false</ScaleCrop>
  <LinksUpToDate>false</LinksUpToDate>
  <CharactersWithSpaces>2458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2025-10-26T15:47:20Z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