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94C26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F5AB5E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0355"/>
      <w:r>
        <w:t>服务事件管理程序</w:t>
      </w:r>
      <w:bookmarkEnd w:id="0"/>
    </w:p>
    <w:p w14:paraId="2D06514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2391"/>
      <w:r>
        <w:t>中达丰集团有限公司</w:t>
      </w:r>
      <w:bookmarkEnd w:id="1"/>
    </w:p>
    <w:p w14:paraId="5821EE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ind w:left="328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2025-0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310035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/>
        <w:ind w:left="3699"/>
        <w:textAlignment w:val="baseline"/>
        <w:rPr>
          <w:rFonts w:ascii="宋体" w:hAnsi="宋体" w:eastAsia="宋体" w:cs="宋体"/>
          <w:sz w:val="24"/>
          <w:szCs w:val="24"/>
        </w:rPr>
      </w:pPr>
    </w:p>
    <w:p w14:paraId="653DC34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24"/>
          <w:szCs w:val="24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3C47A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</w:pPr>
      <w:bookmarkStart w:id="2" w:name="_Toc1330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557"/>
        <w:gridCol w:w="2159"/>
        <w:gridCol w:w="1557"/>
        <w:gridCol w:w="1953"/>
      </w:tblGrid>
      <w:tr w14:paraId="582F6A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6D9BC9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025052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服务事件管理程序（ZDFJT-ITSS-FWSJGL）</w:t>
            </w:r>
          </w:p>
        </w:tc>
      </w:tr>
      <w:tr w14:paraId="3B9999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303B7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5B35BA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122D24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9C41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7" w:type="dxa"/>
          </w:tcPr>
          <w:p w14:paraId="37FB28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30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59" w:type="dxa"/>
          </w:tcPr>
          <w:p w14:paraId="0992E3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0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564899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687638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6961ED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471310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7" w:type="dxa"/>
          </w:tcPr>
          <w:p w14:paraId="0C4EFF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159" w:type="dxa"/>
          </w:tcPr>
          <w:p w14:paraId="3245EF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66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5CBA22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7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3F99AB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5FEA8C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005F88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8C211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580B02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C0E8D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948AE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30C5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5EFA35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E8299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385EFB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000C9F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AE0A9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97E4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1464C8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75933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470C60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EFBD3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CC679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F4878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B3ACF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7E593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681C5B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EC3E22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1537F6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1929443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0A654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02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FFE2A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5F7917">
          <w:pPr>
            <w:pStyle w:val="16"/>
            <w:tabs>
              <w:tab w:val="right" w:leader="dot" w:pos="8492"/>
            </w:tabs>
          </w:pPr>
          <w:bookmarkStart w:id="29" w:name="_GoBack"/>
          <w:bookmarkEnd w:id="29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服务事件管理程序</w:t>
          </w:r>
          <w:r>
            <w:tab/>
          </w:r>
          <w:r>
            <w:fldChar w:fldCharType="begin"/>
          </w:r>
          <w:r>
            <w:instrText xml:space="preserve"> PAGEREF _Toc20355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7AC6E8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_Toc22391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_Toc22391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AD4FC6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_Toc13300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_Toc13300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4E4C4FB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_Toc13924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_Toc13924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31BC0BA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_Toc18576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术语、缩略词和定义</w:t>
          </w:r>
          <w:r>
            <w:tab/>
          </w:r>
          <w:r>
            <w:fldChar w:fldCharType="begin"/>
          </w:r>
          <w:r>
            <w:instrText xml:space="preserve"> PAGEREF _Toc18576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F0F77F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_Toc25095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_Toc25095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6B12E15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_Toc4193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程序准则</w:t>
          </w:r>
          <w:r>
            <w:tab/>
          </w:r>
          <w:r>
            <w:fldChar w:fldCharType="begin"/>
          </w:r>
          <w:r>
            <w:instrText xml:space="preserve"> PAGEREF _Toc4193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AC78759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_Toc5379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关闭原则</w:t>
          </w:r>
          <w:r>
            <w:tab/>
          </w:r>
          <w:r>
            <w:fldChar w:fldCharType="begin"/>
          </w:r>
          <w:r>
            <w:instrText xml:space="preserve"> PAGEREF _Toc5379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BF09F4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_Toc6199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流程关联原则</w:t>
          </w:r>
          <w:r>
            <w:tab/>
          </w:r>
          <w:r>
            <w:fldChar w:fldCharType="begin"/>
          </w:r>
          <w:r>
            <w:instrText xml:space="preserve"> PAGEREF _Toc6199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C44D59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_Toc23233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输入、输出及出口准则</w:t>
          </w:r>
          <w:r>
            <w:tab/>
          </w:r>
          <w:r>
            <w:fldChar w:fldCharType="begin"/>
          </w:r>
          <w:r>
            <w:instrText xml:space="preserve"> PAGEREF _Toc23233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841519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_Toc28773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输入</w:t>
          </w:r>
          <w:r>
            <w:tab/>
          </w:r>
          <w:r>
            <w:fldChar w:fldCharType="begin"/>
          </w:r>
          <w:r>
            <w:instrText xml:space="preserve"> PAGEREF _Toc28773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5A1334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_Toc4771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输出</w:t>
          </w:r>
          <w:r>
            <w:tab/>
          </w:r>
          <w:r>
            <w:fldChar w:fldCharType="begin"/>
          </w:r>
          <w:r>
            <w:instrText xml:space="preserve"> PAGEREF _Toc4771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5BF2B2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_Toc20889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出口准则</w:t>
          </w:r>
          <w:r>
            <w:tab/>
          </w:r>
          <w:r>
            <w:fldChar w:fldCharType="begin"/>
          </w:r>
          <w:r>
            <w:instrText xml:space="preserve"> PAGEREF _Toc20889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959725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_Toc30226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流程说明</w:t>
          </w:r>
          <w:r>
            <w:tab/>
          </w:r>
          <w:r>
            <w:fldChar w:fldCharType="begin"/>
          </w:r>
          <w:r>
            <w:instrText xml:space="preserve"> PAGEREF _Toc30226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9935E2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_Toc11592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流程图</w:t>
          </w:r>
          <w:r>
            <w:tab/>
          </w:r>
          <w:r>
            <w:fldChar w:fldCharType="begin"/>
          </w:r>
          <w:r>
            <w:instrText xml:space="preserve"> PAGEREF _Toc11592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2385FE3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_Toc32691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子流程</w:t>
          </w:r>
          <w:r>
            <w:tab/>
          </w:r>
          <w:r>
            <w:fldChar w:fldCharType="begin"/>
          </w:r>
          <w:r>
            <w:instrText xml:space="preserve"> PAGEREF _Toc32691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C07E1E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_Toc11896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4.6.1. </w:t>
          </w:r>
          <w:r>
            <w:t>一线处理解决流程</w:t>
          </w:r>
          <w:r>
            <w:tab/>
          </w:r>
          <w:r>
            <w:fldChar w:fldCharType="begin"/>
          </w:r>
          <w:r>
            <w:instrText xml:space="preserve"> PAGEREF _Toc11896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9EA664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4.6.2. </w:t>
          </w:r>
          <w:r>
            <w:t>二线处理解决流程</w:t>
          </w:r>
          <w:r>
            <w:tab/>
          </w:r>
          <w:r>
            <w:fldChar w:fldCharType="begin"/>
          </w:r>
          <w:r>
            <w:instrText xml:space="preserve"> PAGEREF _Toc17798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93EDBDF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_Toc5625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t>事件等级及升级机制</w:t>
          </w:r>
          <w:r>
            <w:tab/>
          </w:r>
          <w:r>
            <w:fldChar w:fldCharType="begin"/>
          </w:r>
          <w:r>
            <w:instrText xml:space="preserve"> PAGEREF _Toc5625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931CED4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_Toc9404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4.7.1. </w:t>
          </w:r>
          <w:r>
            <w:t>事件等级划分</w:t>
          </w:r>
          <w:r>
            <w:tab/>
          </w:r>
          <w:r>
            <w:fldChar w:fldCharType="begin"/>
          </w:r>
          <w:r>
            <w:instrText xml:space="preserve"> PAGEREF _Toc9404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8F148E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_Toc30026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4.7.2. </w:t>
          </w:r>
          <w:r>
            <w:t>事件升级机制</w:t>
          </w:r>
          <w:r>
            <w:tab/>
          </w:r>
          <w:r>
            <w:fldChar w:fldCharType="begin"/>
          </w:r>
          <w:r>
            <w:instrText xml:space="preserve"> PAGEREF _Toc30026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C9F7D6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t>事件类别和产生原因描述</w:t>
          </w:r>
          <w:r>
            <w:tab/>
          </w:r>
          <w:r>
            <w:fldChar w:fldCharType="begin"/>
          </w:r>
          <w:r>
            <w:instrText xml:space="preserve"> PAGEREF _Toc21899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B0E65F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_Toc9659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关键绩效指标</w:t>
          </w:r>
          <w:r>
            <w:tab/>
          </w:r>
          <w:r>
            <w:fldChar w:fldCharType="begin"/>
          </w:r>
          <w:r>
            <w:instrText xml:space="preserve"> PAGEREF _Toc9659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D5166B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_Toc28228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_Toc28228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674988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_Toc1420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文档模板</w:t>
          </w:r>
          <w:r>
            <w:tab/>
          </w:r>
          <w:r>
            <w:fldChar w:fldCharType="begin"/>
          </w:r>
          <w:r>
            <w:instrText xml:space="preserve"> PAGEREF _Toc1420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7E039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0F7AB1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5EA88F4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3924"/>
      <w:r>
        <w:t>目的</w:t>
      </w:r>
      <w:bookmarkEnd w:id="3"/>
    </w:p>
    <w:p w14:paraId="7173D3B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事件管理流程的目的是尽快解决现场突发事件，保障现场系统的稳定性，</w:t>
      </w:r>
    </w:p>
    <w:p w14:paraId="3A80B00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提高服务质量，为业务的发展提供更优质的IT服务，并且可以有效实施其他相关运维管理流程，如问题管理流程。</w:t>
      </w:r>
    </w:p>
    <w:p w14:paraId="0D98F14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通过本文档的定义，建立一个完整的事件管理系统，从而实现：</w:t>
      </w:r>
    </w:p>
    <w:p w14:paraId="1A52777C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减小突发事件对业务的影响</w:t>
      </w:r>
    </w:p>
    <w:p w14:paraId="4DBD09D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提高用户工作效率</w:t>
      </w:r>
    </w:p>
    <w:p w14:paraId="1A0688E0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提升客户满意度</w:t>
      </w:r>
    </w:p>
    <w:p w14:paraId="742E66F5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进行事件有效控制</w:t>
      </w:r>
    </w:p>
    <w:p w14:paraId="654DD69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8576"/>
      <w:r>
        <w:t>术语、缩略词和定义</w:t>
      </w:r>
      <w:bookmarkEnd w:id="4"/>
    </w:p>
    <w:p w14:paraId="307225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" w:lineRule="exact"/>
        <w:textAlignment w:val="baseline"/>
      </w:pPr>
    </w:p>
    <w:tbl>
      <w:tblPr>
        <w:tblStyle w:val="24"/>
        <w:tblW w:w="869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3"/>
        <w:gridCol w:w="1121"/>
        <w:gridCol w:w="6841"/>
      </w:tblGrid>
      <w:tr w14:paraId="669BD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33" w:type="dxa"/>
            <w:shd w:val="clear" w:color="auto" w:fill="D0CECE"/>
          </w:tcPr>
          <w:p w14:paraId="1469D1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4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21" w:type="dxa"/>
            <w:shd w:val="clear" w:color="auto" w:fill="D0CECE"/>
          </w:tcPr>
          <w:p w14:paraId="101131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4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术语</w:t>
            </w:r>
          </w:p>
        </w:tc>
        <w:tc>
          <w:tcPr>
            <w:tcW w:w="6841" w:type="dxa"/>
            <w:shd w:val="clear" w:color="auto" w:fill="D0CECE"/>
          </w:tcPr>
          <w:p w14:paraId="43303D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2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定义</w:t>
            </w:r>
          </w:p>
        </w:tc>
      </w:tr>
      <w:tr w14:paraId="1FBE6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09D97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left="121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121" w:type="dxa"/>
          </w:tcPr>
          <w:p w14:paraId="36BEFD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事件</w:t>
            </w:r>
          </w:p>
        </w:tc>
        <w:tc>
          <w:tcPr>
            <w:tcW w:w="6841" w:type="dxa"/>
          </w:tcPr>
          <w:p w14:paraId="6D3548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10" w:right="1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用户在信息系统使用过程中，在合同范围内可能导致这个服务的中断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或服务质量下降的任何事件，包括故障申报，服务请求等。</w:t>
            </w:r>
          </w:p>
        </w:tc>
      </w:tr>
      <w:tr w14:paraId="41157C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25DC7C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179" w:lineRule="auto"/>
              <w:ind w:left="115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121" w:type="dxa"/>
          </w:tcPr>
          <w:p w14:paraId="369074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事件管理</w:t>
            </w:r>
          </w:p>
        </w:tc>
        <w:tc>
          <w:tcPr>
            <w:tcW w:w="6841" w:type="dxa"/>
          </w:tcPr>
          <w:p w14:paraId="31586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25" w:right="1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降低或消除正常提供</w:t>
            </w:r>
            <w:r>
              <w:rPr>
                <w:rFonts w:ascii="Calibri" w:hAnsi="Calibri" w:eastAsia="Calibri" w:cs="Calibri"/>
                <w:spacing w:val="-3"/>
                <w:sz w:val="22"/>
                <w:szCs w:val="22"/>
              </w:rPr>
              <w:t>IT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服务时产生的干扰因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素，通过一些变通方案，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降低影响，尽快恢复客户业务应用，保障用户能够尽快重新工作。</w:t>
            </w:r>
          </w:p>
        </w:tc>
      </w:tr>
      <w:tr w14:paraId="44E319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733" w:type="dxa"/>
          </w:tcPr>
          <w:p w14:paraId="19DE3A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5" w:line="179" w:lineRule="auto"/>
              <w:ind w:left="114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121" w:type="dxa"/>
          </w:tcPr>
          <w:p w14:paraId="0FB219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6841" w:type="dxa"/>
          </w:tcPr>
          <w:p w14:paraId="1854EE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7" w:lineRule="auto"/>
              <w:ind w:left="109" w:right="162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服务请求类事件是指客户希望从服务台得到的业务支持、信息咨询、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辅助配合或者文档方面的请求。</w:t>
            </w:r>
          </w:p>
        </w:tc>
      </w:tr>
      <w:tr w14:paraId="37EC08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0B703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8" w:line="177" w:lineRule="auto"/>
              <w:ind w:left="108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2"/>
                <w:sz w:val="22"/>
                <w:szCs w:val="22"/>
              </w:rPr>
              <w:t>4.</w:t>
            </w:r>
          </w:p>
        </w:tc>
        <w:tc>
          <w:tcPr>
            <w:tcW w:w="1121" w:type="dxa"/>
          </w:tcPr>
          <w:p w14:paraId="672AF2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事件升级</w:t>
            </w:r>
          </w:p>
        </w:tc>
        <w:tc>
          <w:tcPr>
            <w:tcW w:w="6841" w:type="dxa"/>
          </w:tcPr>
          <w:p w14:paraId="7F54B8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6" w:lineRule="auto"/>
              <w:ind w:left="110" w:right="131" w:firstLine="1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当某一事件不能在规定时间内解决，那么就需要更多经验、更高权限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人员和资源参与解决，从而确保事件得到解决。</w:t>
            </w:r>
          </w:p>
        </w:tc>
      </w:tr>
      <w:tr w14:paraId="65A16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733" w:type="dxa"/>
          </w:tcPr>
          <w:p w14:paraId="61369E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0" w:line="177" w:lineRule="auto"/>
              <w:ind w:left="113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5.</w:t>
            </w:r>
          </w:p>
        </w:tc>
        <w:tc>
          <w:tcPr>
            <w:tcW w:w="1121" w:type="dxa"/>
          </w:tcPr>
          <w:p w14:paraId="43A9D3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10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重复事件</w:t>
            </w:r>
          </w:p>
        </w:tc>
        <w:tc>
          <w:tcPr>
            <w:tcW w:w="6841" w:type="dxa"/>
          </w:tcPr>
          <w:p w14:paraId="604F9E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8" w:lineRule="auto"/>
              <w:ind w:left="108" w:right="13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重复事件是指在单一客户申告的统一来源（</w:t>
            </w:r>
            <w:r>
              <w:rPr>
                <w:rFonts w:ascii="Calibri" w:hAnsi="Calibri" w:eastAsia="Calibri" w:cs="Calibri"/>
                <w:spacing w:val="-1"/>
                <w:sz w:val="22"/>
                <w:szCs w:val="22"/>
              </w:rPr>
              <w:t>IT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系统、应用系统）同一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个配置项上相同事件现象的已创建且尚未解决的事件。</w:t>
            </w:r>
          </w:p>
        </w:tc>
      </w:tr>
    </w:tbl>
    <w:p w14:paraId="294C8D3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5095"/>
      <w:r>
        <w:t>角色与职责</w:t>
      </w:r>
      <w:bookmarkEnd w:id="5"/>
    </w:p>
    <w:tbl>
      <w:tblPr>
        <w:tblStyle w:val="24"/>
        <w:tblW w:w="876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5"/>
        <w:gridCol w:w="5949"/>
        <w:gridCol w:w="1767"/>
      </w:tblGrid>
      <w:tr w14:paraId="3C23D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  <w:jc w:val="center"/>
        </w:trPr>
        <w:tc>
          <w:tcPr>
            <w:tcW w:w="1045" w:type="dxa"/>
            <w:shd w:val="clear" w:color="auto" w:fill="D0CECE"/>
          </w:tcPr>
          <w:p w14:paraId="63FD99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1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角色</w:t>
            </w:r>
          </w:p>
        </w:tc>
        <w:tc>
          <w:tcPr>
            <w:tcW w:w="5949" w:type="dxa"/>
            <w:shd w:val="clear" w:color="auto" w:fill="D0CECE"/>
          </w:tcPr>
          <w:p w14:paraId="1F5581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职责</w:t>
            </w:r>
          </w:p>
        </w:tc>
        <w:tc>
          <w:tcPr>
            <w:tcW w:w="1767" w:type="dxa"/>
            <w:shd w:val="clear" w:color="auto" w:fill="D0CECE"/>
          </w:tcPr>
          <w:p w14:paraId="4B572C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b/>
                <w:bCs/>
                <w:spacing w:val="-5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5"/>
                <w:sz w:val="22"/>
                <w:szCs w:val="22"/>
                <w:lang w:val="en-US" w:eastAsia="zh-CN"/>
              </w:rPr>
              <w:t>责任人</w:t>
            </w:r>
          </w:p>
        </w:tc>
      </w:tr>
      <w:tr w14:paraId="68C46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vAlign w:val="center"/>
          </w:tcPr>
          <w:p w14:paraId="0FDA34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事件经理</w:t>
            </w:r>
          </w:p>
        </w:tc>
        <w:tc>
          <w:tcPr>
            <w:tcW w:w="5949" w:type="dxa"/>
          </w:tcPr>
          <w:p w14:paraId="2544C6C0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一般由运维部经理担任</w:t>
            </w:r>
            <w:r>
              <w:rPr>
                <w:sz w:val="21"/>
                <w:szCs w:val="21"/>
              </w:rPr>
              <w:t>通过服务台来确保客户满意；</w:t>
            </w:r>
          </w:p>
          <w:p w14:paraId="755FC8E0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确保事件快速解决；</w:t>
            </w:r>
          </w:p>
          <w:p w14:paraId="2A8176D1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出现紧急、重大事件时，负责协调外部资源尽快解决；</w:t>
            </w:r>
          </w:p>
          <w:p w14:paraId="439484C0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当事件优先级为高或者事件将超过规定的时限，负责按照升级方法对事件进行处理确保有效协调资源，促进各类角色小组快速恢复正常服务；</w:t>
            </w:r>
          </w:p>
          <w:p w14:paraId="67E01398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确保正确、广泛地收集和分析事件数据，发现 IT 和业务相关的问题；</w:t>
            </w:r>
          </w:p>
          <w:p w14:paraId="419B8CBA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pacing w:val="-2"/>
                <w:szCs w:val="22"/>
              </w:rPr>
            </w:pPr>
            <w:r>
              <w:rPr>
                <w:sz w:val="21"/>
                <w:szCs w:val="21"/>
              </w:rPr>
              <w:t>确保与问题管理、外部供应商等部门的有效合作</w:t>
            </w:r>
          </w:p>
        </w:tc>
        <w:tc>
          <w:tcPr>
            <w:tcW w:w="1767" w:type="dxa"/>
            <w:vAlign w:val="center"/>
          </w:tcPr>
          <w:p w14:paraId="15F20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运维项目经理</w:t>
            </w:r>
          </w:p>
        </w:tc>
      </w:tr>
      <w:tr w14:paraId="33F0E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shd w:val="clear" w:color="auto" w:fill="auto"/>
            <w:vAlign w:val="center"/>
          </w:tcPr>
          <w:p w14:paraId="6BEFCD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leftChars="0" w:right="195" w:righ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一线工程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</w:tcPr>
          <w:p w14:paraId="413455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leftChars="0" w:hanging="425" w:firstLineChars="0"/>
              <w:textAlignment w:val="baseline"/>
              <w:rPr>
                <w:rFonts w:hint="default" w:ascii="Calibri" w:hAnsi="Calibri" w:eastAsia="宋体" w:cs="Calibri"/>
                <w:spacing w:val="-6"/>
                <w:sz w:val="21"/>
                <w:szCs w:val="21"/>
                <w:lang w:val="en-US" w:eastAsia="zh-CN"/>
              </w:rPr>
            </w:pPr>
            <w:r>
              <w:rPr>
                <w:rFonts w:hint="eastAsia" w:ascii="Calibri" w:hAnsi="Calibri" w:eastAsia="宋体" w:cs="Calibri"/>
                <w:spacing w:val="-6"/>
                <w:sz w:val="21"/>
                <w:szCs w:val="21"/>
                <w:lang w:val="en-US" w:eastAsia="zh-CN"/>
              </w:rPr>
              <w:t>一般由运维实施工程师担任</w:t>
            </w:r>
          </w:p>
          <w:p w14:paraId="2A6211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登录运维管理平台，接受用户服务请求（接听用户电话、或其他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渠道</w:t>
            </w:r>
            <w:r>
              <w:rPr>
                <w:rFonts w:ascii="宋体" w:hAnsi="宋体" w:eastAsia="宋体" w:cs="宋体"/>
                <w:spacing w:val="-42"/>
                <w:sz w:val="21"/>
                <w:szCs w:val="21"/>
              </w:rPr>
              <w:t>），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受理用户故障信息，接受率</w:t>
            </w:r>
            <w:r>
              <w:rPr>
                <w:rFonts w:ascii="宋体" w:hAnsi="宋体" w:eastAsia="宋体" w:cs="宋体"/>
                <w:spacing w:val="-34"/>
                <w:sz w:val="21"/>
                <w:szCs w:val="21"/>
              </w:rPr>
              <w:t xml:space="preserve"> </w:t>
            </w:r>
            <w:r>
              <w:rPr>
                <w:rFonts w:ascii="Calibri" w:hAnsi="Calibri" w:eastAsia="Calibri" w:cs="Calibri"/>
                <w:spacing w:val="-5"/>
                <w:sz w:val="21"/>
                <w:szCs w:val="21"/>
              </w:rPr>
              <w:t>98%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以上。</w:t>
            </w:r>
          </w:p>
          <w:p w14:paraId="79E7DD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详细记录用户故障信息，形成事件单，记录率</w:t>
            </w:r>
            <w:r>
              <w:rPr>
                <w:rFonts w:ascii="宋体" w:hAnsi="宋体" w:eastAsia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  <w:sz w:val="21"/>
                <w:szCs w:val="21"/>
              </w:rPr>
              <w:t>100%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。</w:t>
            </w:r>
          </w:p>
          <w:p w14:paraId="62529D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解决用户提出的故障信息，处理完成后详细记录解决过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程和处理结果。</w:t>
            </w:r>
          </w:p>
          <w:p w14:paraId="24DCFB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对于不能解决的事件进行事件升级，及时转接二线工程师分析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解决。</w:t>
            </w:r>
          </w:p>
          <w:p w14:paraId="3602A5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非工作时间内，接听电话、记录事件单以及处理过程和结果。</w:t>
            </w:r>
          </w:p>
          <w:p w14:paraId="0B26CB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对事件分类，进行知识点的提交。</w:t>
            </w:r>
          </w:p>
        </w:tc>
        <w:tc>
          <w:tcPr>
            <w:tcW w:w="1767" w:type="dxa"/>
            <w:vAlign w:val="center"/>
          </w:tcPr>
          <w:p w14:paraId="4C39AC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hint="default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服务台经理</w:t>
            </w:r>
          </w:p>
        </w:tc>
      </w:tr>
      <w:tr w14:paraId="3DA652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shd w:val="clear" w:color="auto" w:fill="auto"/>
            <w:vAlign w:val="center"/>
          </w:tcPr>
          <w:p w14:paraId="6D3A47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leftChars="0" w:right="195" w:righ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二线工程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</w:tcPr>
          <w:p w14:paraId="4FA9C143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一般由技术岗人员担任</w:t>
            </w:r>
          </w:p>
          <w:p w14:paraId="0EF7813D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对不能解决处理的事件进行事件升级转二线工程师。</w:t>
            </w:r>
          </w:p>
          <w:p w14:paraId="1EBFB34E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解决一线不能解决的问题，包括转接事件单、咨询以及协助一线与用户沟通等。</w:t>
            </w:r>
          </w:p>
          <w:p w14:paraId="14972700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在人员不足情况下接听电话，记录事件单，处理故障、参与值班。</w:t>
            </w:r>
          </w:p>
          <w:p w14:paraId="4A46195B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定期组织常见问题讨论会，对常见问题进行分析交流（每周一次）。</w:t>
            </w:r>
          </w:p>
          <w:p w14:paraId="6E32C50F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sz w:val="21"/>
                <w:szCs w:val="21"/>
              </w:rPr>
              <w:t>定期组织技术专家组进行知识点的审批，入库以及知识库的审核。</w:t>
            </w:r>
          </w:p>
        </w:tc>
        <w:tc>
          <w:tcPr>
            <w:tcW w:w="1767" w:type="dxa"/>
            <w:vAlign w:val="center"/>
          </w:tcPr>
          <w:p w14:paraId="5834D8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技术岗人员</w:t>
            </w:r>
          </w:p>
        </w:tc>
      </w:tr>
    </w:tbl>
    <w:p w14:paraId="739911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4765BBE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4193"/>
      <w:r>
        <w:t>程序准则</w:t>
      </w:r>
      <w:bookmarkEnd w:id="6"/>
    </w:p>
    <w:p w14:paraId="2B99E43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24"/>
      <w:bookmarkEnd w:id="7"/>
      <w:bookmarkStart w:id="8" w:name="_Toc5379"/>
      <w:r>
        <w:t>关闭原则</w:t>
      </w:r>
      <w:bookmarkEnd w:id="8"/>
    </w:p>
    <w:p w14:paraId="69844CD5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由用户申报的事件单，关闭必须由服务台完成。</w:t>
      </w:r>
    </w:p>
    <w:p w14:paraId="4D184FB6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已关闭的事件单不允许重开，如果事件重复发生，则创建一个新的事件单。</w:t>
      </w:r>
    </w:p>
    <w:p w14:paraId="341940F0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事件处理人员在解决完成事件时，根据实际解决情况填写事件的解决方案。</w:t>
      </w:r>
    </w:p>
    <w:p w14:paraId="1FE687E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采用临时措施恢复服务时，事件单的状态是处理中，得到用户认可后获得关闭的事件单状态是处理完成。</w:t>
      </w:r>
    </w:p>
    <w:p w14:paraId="4D4B969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6199"/>
      <w:r>
        <w:t>流程关联原则</w:t>
      </w:r>
      <w:bookmarkEnd w:id="9"/>
    </w:p>
    <w:p w14:paraId="3C440DD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事件管理与问题管理、变更管理、配置管理存在以下关联原则：</w:t>
      </w:r>
    </w:p>
    <w:p w14:paraId="2933379A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事件管理的主要目标是在事件发生后尽可能地快速恢复客户业务，即使采取的是一些应急措施而不是彻底的解决方案。</w:t>
      </w:r>
    </w:p>
    <w:p w14:paraId="4A2AA5EB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问题管理的主要目标是查明，分析事件发生的潜在原因，并找到相对应的解决方案，防止此类事件的再次发生。</w:t>
      </w:r>
    </w:p>
    <w:p w14:paraId="4D158A61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事件在处理过程中可能要触发变更管理流程，在实施变更活动的同时，利用临时措施保证客户业务持续运行。变更活动结束后，事件得到彻底解决。</w:t>
      </w:r>
    </w:p>
    <w:p w14:paraId="1A800487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配置管理为事件管理提供信息支持，事件管理过程涉及到配置项的改变触发更新。</w:t>
      </w:r>
    </w:p>
    <w:p w14:paraId="111F5A3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1"/>
      <w:bookmarkEnd w:id="10"/>
      <w:bookmarkStart w:id="11" w:name="_Toc23233"/>
      <w:r>
        <w:t>输入、输出及出口准则</w:t>
      </w:r>
      <w:bookmarkEnd w:id="11"/>
    </w:p>
    <w:p w14:paraId="32C920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8773"/>
      <w:r>
        <w:t>输入</w:t>
      </w:r>
      <w:bookmarkEnd w:id="12"/>
    </w:p>
    <w:p w14:paraId="041E35E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24"/>
        <w:tblW w:w="8732" w:type="dxa"/>
        <w:tblInd w:w="1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6"/>
        <w:gridCol w:w="1131"/>
        <w:gridCol w:w="3761"/>
        <w:gridCol w:w="2037"/>
        <w:gridCol w:w="1137"/>
      </w:tblGrid>
      <w:tr w14:paraId="3C0DA9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666" w:type="dxa"/>
          </w:tcPr>
          <w:p w14:paraId="1A0975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31" w:type="dxa"/>
          </w:tcPr>
          <w:p w14:paraId="6B4C8E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34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761" w:type="dxa"/>
          </w:tcPr>
          <w:p w14:paraId="5D1208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66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037" w:type="dxa"/>
          </w:tcPr>
          <w:p w14:paraId="7D4BDA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80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37" w:type="dxa"/>
          </w:tcPr>
          <w:p w14:paraId="291716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3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输入来源</w:t>
            </w:r>
          </w:p>
        </w:tc>
      </w:tr>
      <w:tr w14:paraId="308D32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 w:hRule="atLeast"/>
        </w:trPr>
        <w:tc>
          <w:tcPr>
            <w:tcW w:w="666" w:type="dxa"/>
          </w:tcPr>
          <w:p w14:paraId="15A464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1" w:lineRule="auto"/>
              <w:textAlignment w:val="baseline"/>
            </w:pPr>
          </w:p>
          <w:p w14:paraId="51A39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178" w:lineRule="auto"/>
              <w:ind w:left="288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4B8E2D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68F77E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故障申报</w:t>
            </w:r>
          </w:p>
        </w:tc>
        <w:tc>
          <w:tcPr>
            <w:tcW w:w="3761" w:type="dxa"/>
          </w:tcPr>
          <w:p w14:paraId="053DC2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45" w:lineRule="auto"/>
              <w:ind w:left="106" w:firstLine="3"/>
              <w:jc w:val="both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客户现场软硬件故障详细信息，包括：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客户信息、故障描述，发生故障的配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置项等</w:t>
            </w:r>
          </w:p>
        </w:tc>
        <w:tc>
          <w:tcPr>
            <w:tcW w:w="2037" w:type="dxa"/>
          </w:tcPr>
          <w:p w14:paraId="01F90F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381507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 w14:paraId="3F5C8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20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客户，</w:t>
            </w:r>
          </w:p>
          <w:p w14:paraId="42B1E5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20" w:lineRule="auto"/>
              <w:ind w:left="11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服务人员</w:t>
            </w:r>
          </w:p>
        </w:tc>
      </w:tr>
      <w:tr w14:paraId="7BE89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666" w:type="dxa"/>
          </w:tcPr>
          <w:p w14:paraId="17DABF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3" w:line="179" w:lineRule="auto"/>
              <w:ind w:left="282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7BA9DF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3761" w:type="dxa"/>
          </w:tcPr>
          <w:p w14:paraId="079A15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2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当前客户业务对软硬件系统的需求</w:t>
            </w:r>
          </w:p>
        </w:tc>
        <w:tc>
          <w:tcPr>
            <w:tcW w:w="2037" w:type="dxa"/>
          </w:tcPr>
          <w:p w14:paraId="5BB605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 w14:paraId="20C8EB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03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客户</w:t>
            </w:r>
          </w:p>
        </w:tc>
      </w:tr>
    </w:tbl>
    <w:p w14:paraId="2BF5A7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4771"/>
      <w:r>
        <w:t>输出</w:t>
      </w:r>
      <w:bookmarkEnd w:id="13"/>
    </w:p>
    <w:p w14:paraId="7F87113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24"/>
        <w:tblW w:w="899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3"/>
        <w:gridCol w:w="1723"/>
        <w:gridCol w:w="3176"/>
        <w:gridCol w:w="2195"/>
        <w:gridCol w:w="1183"/>
      </w:tblGrid>
      <w:tr w14:paraId="45651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13" w:type="dxa"/>
          </w:tcPr>
          <w:p w14:paraId="671D4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723" w:type="dxa"/>
          </w:tcPr>
          <w:p w14:paraId="5CC59A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64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176" w:type="dxa"/>
          </w:tcPr>
          <w:p w14:paraId="14D352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195" w:type="dxa"/>
          </w:tcPr>
          <w:p w14:paraId="1CD350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88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83" w:type="dxa"/>
          </w:tcPr>
          <w:p w14:paraId="0FA225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5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输出去向</w:t>
            </w:r>
          </w:p>
        </w:tc>
      </w:tr>
      <w:tr w14:paraId="32E4FB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13" w:type="dxa"/>
          </w:tcPr>
          <w:p w14:paraId="2FF6F5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right="6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723" w:type="dxa"/>
          </w:tcPr>
          <w:p w14:paraId="300A87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故障解决</w:t>
            </w:r>
          </w:p>
          <w:p w14:paraId="098DD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4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服务请求解决</w:t>
            </w:r>
          </w:p>
        </w:tc>
        <w:tc>
          <w:tcPr>
            <w:tcW w:w="3176" w:type="dxa"/>
          </w:tcPr>
          <w:p w14:paraId="505B76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客户故障、请求得到及时解决</w:t>
            </w:r>
          </w:p>
        </w:tc>
        <w:tc>
          <w:tcPr>
            <w:tcW w:w="2195" w:type="dxa"/>
          </w:tcPr>
          <w:p w14:paraId="4D70FD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83" w:type="dxa"/>
          </w:tcPr>
          <w:p w14:paraId="03D25F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38" w:lineRule="auto"/>
              <w:ind w:left="115" w:right="185" w:firstLine="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客户满意</w:t>
            </w:r>
            <w:r>
              <w:rPr>
                <w:rFonts w:ascii="宋体" w:hAnsi="宋体" w:eastAsia="宋体" w:cs="宋体"/>
                <w:sz w:val="22"/>
                <w:szCs w:val="22"/>
              </w:rPr>
              <w:t>度</w:t>
            </w:r>
          </w:p>
        </w:tc>
      </w:tr>
      <w:tr w14:paraId="662AA3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13" w:type="dxa"/>
          </w:tcPr>
          <w:p w14:paraId="057E8A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179" w:lineRule="auto"/>
              <w:ind w:right="9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723" w:type="dxa"/>
          </w:tcPr>
          <w:p w14:paraId="28D76E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问题协调单</w:t>
            </w:r>
          </w:p>
        </w:tc>
        <w:tc>
          <w:tcPr>
            <w:tcW w:w="3176" w:type="dxa"/>
          </w:tcPr>
          <w:p w14:paraId="71BFB9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0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事件需要二线协助处理</w:t>
            </w:r>
          </w:p>
        </w:tc>
        <w:tc>
          <w:tcPr>
            <w:tcW w:w="2195" w:type="dxa"/>
          </w:tcPr>
          <w:p w14:paraId="5CD6F6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《客户问题协调单》</w:t>
            </w:r>
          </w:p>
        </w:tc>
        <w:tc>
          <w:tcPr>
            <w:tcW w:w="1183" w:type="dxa"/>
          </w:tcPr>
          <w:p w14:paraId="7570E5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17" w:right="185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运维服务人员</w:t>
            </w:r>
          </w:p>
        </w:tc>
      </w:tr>
      <w:tr w14:paraId="35871F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713" w:type="dxa"/>
          </w:tcPr>
          <w:p w14:paraId="07C84D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 w:line="179" w:lineRule="auto"/>
              <w:ind w:right="9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723" w:type="dxa"/>
          </w:tcPr>
          <w:p w14:paraId="3967CF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事件报告</w:t>
            </w:r>
          </w:p>
        </w:tc>
        <w:tc>
          <w:tcPr>
            <w:tcW w:w="3176" w:type="dxa"/>
          </w:tcPr>
          <w:p w14:paraId="24316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07" w:right="205" w:firstLine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事件信息汇总报告（月报、年</w:t>
            </w: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报）</w:t>
            </w:r>
          </w:p>
        </w:tc>
        <w:tc>
          <w:tcPr>
            <w:tcW w:w="2195" w:type="dxa"/>
          </w:tcPr>
          <w:p w14:paraId="7402B9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《事件信息统计表》</w:t>
            </w:r>
          </w:p>
        </w:tc>
        <w:tc>
          <w:tcPr>
            <w:tcW w:w="1183" w:type="dxa"/>
          </w:tcPr>
          <w:p w14:paraId="013DF6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7" w:right="185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运维服务人员</w:t>
            </w:r>
          </w:p>
        </w:tc>
      </w:tr>
    </w:tbl>
    <w:p w14:paraId="3ABE7D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0889"/>
      <w:r>
        <w:t>出口准则</w:t>
      </w:r>
      <w:bookmarkEnd w:id="14"/>
    </w:p>
    <w:p w14:paraId="0B3E00F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17" w:line="220" w:lineRule="auto"/>
        <w:ind w:left="86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由用户提出的事件，关闭时必须通知用户，用户确认后方可关闭。</w:t>
      </w:r>
    </w:p>
    <w:p w14:paraId="437781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30226"/>
      <w:r>
        <w:t>流程说明</w:t>
      </w:r>
      <w:bookmarkEnd w:id="15"/>
    </w:p>
    <w:p w14:paraId="094788E5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客服作为一线工程师</w:t>
      </w:r>
      <w:r>
        <w:t>接听电话，记录用户提出的故障信息，形成事件单，并进行事件的分类、分级。</w:t>
      </w:r>
    </w:p>
    <w:p w14:paraId="4BFA3885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一线工程师</w:t>
      </w:r>
      <w:r>
        <w:t>可以直接处理的事件请求，如：咨询及操作错误。处理完成后，记录详细的处理过程以及解决方案。不能处理需要事件升级，将事件提交二线工程师进行解决分析。</w:t>
      </w:r>
    </w:p>
    <w:p w14:paraId="0BF98BA7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</w:t>
      </w:r>
      <w:r>
        <w:t>线工程师经过分析、判断事件，可以直接处理，记录详细的处理过程以及解决方案。不能直接处理，需要二线工程师协助分析需要提交《客户问题协调单》，提醒移交二线工程师。需要进行变更或者解决周期长的事件需要提供应急处理方案。</w:t>
      </w:r>
    </w:p>
    <w:p w14:paraId="2AFD7F82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.运维服务人员对《客户问题协调单》接收，分析、处理，验证解决结果。并填写解决过程及结果，修改协调单状态为已解决。</w:t>
      </w:r>
    </w:p>
    <w:p w14:paraId="7F2BD619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二线工程师将《客户问题协调单》的回复处理结果，记录运维管理平台事件单，一线工程师跟客户沟通反馈，经客户同意后关闭事件。</w:t>
      </w:r>
    </w:p>
    <w:p w14:paraId="17A2657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1592"/>
      <w:r>
        <w:t>流程图</w:t>
      </w:r>
      <w:bookmarkEnd w:id="16"/>
    </w:p>
    <w:p w14:paraId="7FCC8E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5" w:lineRule="exact"/>
        <w:textAlignment w:val="baseline"/>
      </w:pPr>
    </w:p>
    <w:p w14:paraId="4D6278C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053965" cy="4859655"/>
            <wp:effectExtent l="0" t="0" r="5715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3965" cy="485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CBE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765" w:bottom="1374" w:left="1785" w:header="0" w:footer="1211" w:gutter="0"/>
          <w:cols w:space="720" w:num="1"/>
        </w:sectPr>
      </w:pPr>
    </w:p>
    <w:p w14:paraId="622A5E4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32691"/>
      <w:r>
        <w:t>子流程</w:t>
      </w:r>
      <w:bookmarkEnd w:id="17"/>
    </w:p>
    <w:p w14:paraId="27FC69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25"/>
      <w:bookmarkEnd w:id="18"/>
      <w:bookmarkStart w:id="19" w:name="_Toc11896"/>
      <w:r>
        <w:t>一线处理解决流程</w:t>
      </w:r>
      <w:bookmarkEnd w:id="19"/>
    </w:p>
    <w:p w14:paraId="66F0C7E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24"/>
        <w:tblW w:w="7308" w:type="dxa"/>
        <w:tblInd w:w="3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1"/>
        <w:gridCol w:w="1135"/>
        <w:gridCol w:w="1025"/>
        <w:gridCol w:w="1836"/>
        <w:gridCol w:w="1702"/>
        <w:gridCol w:w="1149"/>
      </w:tblGrid>
      <w:tr w14:paraId="4829A4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 w:hRule="atLeast"/>
        </w:trPr>
        <w:tc>
          <w:tcPr>
            <w:tcW w:w="7308" w:type="dxa"/>
            <w:gridSpan w:val="6"/>
          </w:tcPr>
          <w:p w14:paraId="640AB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2" w:line="224" w:lineRule="auto"/>
              <w:ind w:left="3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59264" behindDoc="1" locked="0" layoutInCell="1" allowOverlap="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-1905</wp:posOffset>
                  </wp:positionV>
                  <wp:extent cx="4641850" cy="5370195"/>
                  <wp:effectExtent l="0" t="0" r="0" b="0"/>
                  <wp:wrapNone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1641" cy="5370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spacing w:val="4"/>
                <w:sz w:val="22"/>
                <w:szCs w:val="22"/>
              </w:rPr>
              <w:t>一线处理解决子流程</w:t>
            </w:r>
          </w:p>
        </w:tc>
      </w:tr>
      <w:tr w14:paraId="6FC634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461" w:type="dxa"/>
            <w:vMerge w:val="restart"/>
            <w:tcBorders>
              <w:bottom w:val="nil"/>
            </w:tcBorders>
          </w:tcPr>
          <w:p w14:paraId="0523264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</w:tcPr>
          <w:p w14:paraId="129BFC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374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-1"/>
                <w:sz w:val="19"/>
                <w:szCs w:val="19"/>
              </w:rPr>
              <w:t>输入</w:t>
            </w:r>
          </w:p>
        </w:tc>
        <w:tc>
          <w:tcPr>
            <w:tcW w:w="4563" w:type="dxa"/>
            <w:gridSpan w:val="3"/>
          </w:tcPr>
          <w:p w14:paraId="48122B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807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一线工程师</w:t>
            </w:r>
          </w:p>
        </w:tc>
        <w:tc>
          <w:tcPr>
            <w:tcW w:w="1149" w:type="dxa"/>
          </w:tcPr>
          <w:p w14:paraId="0B91DE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64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输出</w:t>
            </w:r>
            <w:r>
              <w:rPr>
                <w:rFonts w:ascii="Times New Roman" w:hAnsi="Times New Roman" w:eastAsia="Times New Roman" w:cs="Times New Roman"/>
                <w:spacing w:val="1"/>
                <w:sz w:val="19"/>
                <w:szCs w:val="19"/>
              </w:rPr>
              <w:t>/</w:t>
            </w: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工具</w:t>
            </w:r>
          </w:p>
        </w:tc>
      </w:tr>
      <w:tr w14:paraId="78DE9C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3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642676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restart"/>
            <w:tcBorders>
              <w:bottom w:val="nil"/>
            </w:tcBorders>
          </w:tcPr>
          <w:p w14:paraId="26B5D86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5" w:lineRule="auto"/>
              <w:textAlignment w:val="baseline"/>
            </w:pPr>
          </w:p>
          <w:p w14:paraId="62AF15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6" w:lineRule="auto"/>
              <w:textAlignment w:val="baseline"/>
            </w:pPr>
          </w:p>
          <w:p w14:paraId="17C83F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246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服务请求</w:t>
            </w:r>
          </w:p>
          <w:p w14:paraId="4C0E129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0D818CD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541EE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left="248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2"/>
                <w:sz w:val="16"/>
                <w:szCs w:val="16"/>
              </w:rPr>
              <w:t>故障申告</w:t>
            </w:r>
          </w:p>
        </w:tc>
        <w:tc>
          <w:tcPr>
            <w:tcW w:w="1025" w:type="dxa"/>
            <w:tcBorders>
              <w:bottom w:val="nil"/>
              <w:right w:val="nil"/>
            </w:tcBorders>
          </w:tcPr>
          <w:p w14:paraId="28AE25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2" w:lineRule="auto"/>
              <w:ind w:left="375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3"/>
                <w:sz w:val="16"/>
                <w:szCs w:val="16"/>
              </w:rPr>
              <w:t>开始</w:t>
            </w:r>
          </w:p>
          <w:p w14:paraId="728EAE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3BD081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E2C06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2465D5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254A49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8028AF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12AB94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6F5E533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14F1AE2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3F2105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7F7157A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53C854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4" w:lineRule="auto"/>
              <w:ind w:left="503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是</w:t>
            </w:r>
          </w:p>
        </w:tc>
        <w:tc>
          <w:tcPr>
            <w:tcW w:w="3538" w:type="dxa"/>
            <w:gridSpan w:val="2"/>
            <w:tcBorders>
              <w:left w:val="nil"/>
              <w:bottom w:val="nil"/>
            </w:tcBorders>
          </w:tcPr>
          <w:p w14:paraId="4CF432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329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pict>
                <v:shape id="TextBox 12" o:spid="_x0000_s1025" o:spt="202" type="#_x0000_t202" style="position:absolute;left:0pt;margin-left:43.25pt;margin-top:88.95pt;height:13.15pt;width:9.5pt;mso-position-horizontal-relative:page;mso-position-vertical-relative:page;z-index:251661312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>
                    <w:txbxContent>
                      <w:p w14:paraId="33DC3FE0">
                        <w:pPr>
                          <w:spacing w:before="50" w:line="222" w:lineRule="auto"/>
                          <w:ind w:left="20"/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  <w:t>否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hAnsi="宋体" w:eastAsia="宋体" w:cs="宋体"/>
                <w:sz w:val="16"/>
                <w:szCs w:val="16"/>
              </w:rPr>
              <w:t>记录事件详细信息</w:t>
            </w:r>
          </w:p>
          <w:p w14:paraId="6C41B76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148854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7BAEC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41" w:lineRule="auto"/>
              <w:ind w:left="732" w:right="2164" w:hanging="16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判断是否直接解决</w:t>
            </w:r>
          </w:p>
          <w:p w14:paraId="620392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 w14:paraId="1AB516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177102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651" w:leftChars="310" w:firstLine="2844" w:firstLineChars="180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pacing w:val="-1"/>
                <w:sz w:val="16"/>
                <w:szCs w:val="16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查找相关事件</w:t>
            </w:r>
          </w:p>
          <w:p w14:paraId="5B2B03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179A7D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1D7787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574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关联事件单</w:t>
            </w:r>
          </w:p>
          <w:p w14:paraId="4C8E47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312" w:firstLineChars="200"/>
              <w:textAlignment w:val="baseline"/>
              <w:rPr>
                <w:rFonts w:ascii="宋体" w:hAnsi="宋体" w:eastAsia="宋体" w:cs="宋体"/>
                <w:spacing w:val="-2"/>
                <w:sz w:val="16"/>
                <w:szCs w:val="16"/>
              </w:rPr>
            </w:pPr>
          </w:p>
          <w:p w14:paraId="6CB3FD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312" w:firstLineChars="200"/>
              <w:textAlignment w:val="baseline"/>
              <w:rPr>
                <w:rFonts w:ascii="宋体" w:hAnsi="宋体" w:eastAsia="宋体" w:cs="宋体"/>
                <w:spacing w:val="-2"/>
                <w:sz w:val="16"/>
                <w:szCs w:val="16"/>
              </w:rPr>
            </w:pPr>
          </w:p>
          <w:p w14:paraId="0B90D0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468" w:firstLineChars="30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2"/>
                <w:sz w:val="16"/>
                <w:szCs w:val="16"/>
              </w:rPr>
              <w:t>匹配已知方案</w:t>
            </w:r>
          </w:p>
        </w:tc>
        <w:tc>
          <w:tcPr>
            <w:tcW w:w="1149" w:type="dxa"/>
            <w:vMerge w:val="restart"/>
            <w:tcBorders>
              <w:bottom w:val="nil"/>
            </w:tcBorders>
          </w:tcPr>
          <w:p w14:paraId="759BEE6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pict>
                <v:shape id="TextBox 14" o:spid="_x0000_s1026" o:spt="202" type="#_x0000_t202" style="position:absolute;left:0pt;margin-left:17.7pt;margin-top:187.95pt;height:24.45pt;width:25.65pt;mso-position-horizontal-relative:page;mso-position-vertical-relative:page;z-index:251660288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>
                    <w:txbxContent>
                      <w:p w14:paraId="613CD36D">
                        <w:pPr>
                          <w:spacing w:before="50" w:line="221" w:lineRule="auto"/>
                          <w:ind w:left="20"/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hint="eastAsia" w:ascii="宋体" w:hAnsi="宋体" w:cs="宋体"/>
                            <w:spacing w:val="-3"/>
                            <w:sz w:val="16"/>
                            <w:szCs w:val="16"/>
                            <w:lang w:val="en-US" w:eastAsia="zh-CN"/>
                          </w:rPr>
                          <w:t>服务</w:t>
                        </w:r>
                        <w:r>
                          <w:rPr>
                            <w:rFonts w:ascii="宋体" w:hAnsi="宋体" w:eastAsia="宋体" w:cs="宋体"/>
                            <w:spacing w:val="-3"/>
                            <w:sz w:val="16"/>
                            <w:szCs w:val="16"/>
                          </w:rPr>
                          <w:t>知识</w:t>
                        </w:r>
                      </w:p>
                    </w:txbxContent>
                  </v:textbox>
                </v:shape>
              </w:pict>
            </w:r>
          </w:p>
          <w:p w14:paraId="6F6ABE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57FCBF6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D1BE3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F9AE8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2A0C6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4064B3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66D020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E91B4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504CD6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36BCF9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6EA0D7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F83249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3F210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4B1ED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5077932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  <w:p w14:paraId="3180D8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firstLine="160" w:firstLineChars="100"/>
              <w:textAlignment w:val="baseline"/>
              <w:rPr>
                <w:rFonts w:hint="default" w:eastAsia="宋体"/>
                <w:sz w:val="16"/>
                <w:szCs w:val="16"/>
                <w:lang w:val="en-US" w:eastAsia="zh-CN"/>
              </w:rPr>
            </w:pPr>
            <w:r>
              <w:rPr>
                <w:rFonts w:hint="eastAsia"/>
                <w:sz w:val="16"/>
                <w:szCs w:val="16"/>
                <w:lang w:val="en-US" w:eastAsia="zh-CN"/>
              </w:rPr>
              <w:t>事件单</w:t>
            </w:r>
          </w:p>
          <w:p w14:paraId="1F7339D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  <w:tr w14:paraId="7CEA80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9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0D3242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  <w:bottom w:val="nil"/>
            </w:tcBorders>
          </w:tcPr>
          <w:p w14:paraId="4ED40C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 w14:paraId="0B7D04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27" w:line="241" w:lineRule="auto"/>
              <w:ind w:left="1921" w:right="464" w:hanging="327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判定事件解</w:t>
            </w:r>
            <w:r>
              <w:rPr>
                <w:rFonts w:ascii="宋体" w:hAnsi="宋体" w:eastAsia="宋体" w:cs="宋体"/>
                <w:sz w:val="16"/>
                <w:szCs w:val="16"/>
              </w:rPr>
              <w:t>决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 w14:paraId="3C6802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 w:line="221" w:lineRule="auto"/>
              <w:ind w:left="592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否</w:t>
            </w:r>
          </w:p>
        </w:tc>
        <w:tc>
          <w:tcPr>
            <w:tcW w:w="1149" w:type="dxa"/>
            <w:vMerge w:val="continue"/>
            <w:tcBorders>
              <w:top w:val="nil"/>
              <w:bottom w:val="nil"/>
            </w:tcBorders>
          </w:tcPr>
          <w:p w14:paraId="7F65E2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46CC8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8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44E52A3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  <w:bottom w:val="nil"/>
            </w:tcBorders>
          </w:tcPr>
          <w:p w14:paraId="3DF853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 w14:paraId="511E65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4" w:lineRule="auto"/>
              <w:ind w:left="1919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是</w:t>
            </w:r>
          </w:p>
          <w:p w14:paraId="6D1729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0" w:lineRule="auto"/>
              <w:ind w:left="1275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处理并记录解决方案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 w14:paraId="49A3BC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407C51B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017F7F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43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记录初步解决步骤</w:t>
            </w:r>
          </w:p>
        </w:tc>
        <w:tc>
          <w:tcPr>
            <w:tcW w:w="1149" w:type="dxa"/>
            <w:vMerge w:val="continue"/>
            <w:tcBorders>
              <w:top w:val="nil"/>
              <w:bottom w:val="nil"/>
            </w:tcBorders>
          </w:tcPr>
          <w:p w14:paraId="4223B3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7033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7" w:hRule="atLeast"/>
        </w:trPr>
        <w:tc>
          <w:tcPr>
            <w:tcW w:w="461" w:type="dxa"/>
            <w:vMerge w:val="continue"/>
            <w:tcBorders>
              <w:top w:val="nil"/>
            </w:tcBorders>
          </w:tcPr>
          <w:p w14:paraId="3822E2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</w:tcBorders>
          </w:tcPr>
          <w:p w14:paraId="5A4A6D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3" w:type="dxa"/>
            <w:gridSpan w:val="3"/>
            <w:tcBorders>
              <w:top w:val="nil"/>
            </w:tcBorders>
          </w:tcPr>
          <w:p w14:paraId="39E111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8" w:lineRule="auto"/>
              <w:textAlignment w:val="baseline"/>
            </w:pPr>
          </w:p>
          <w:p w14:paraId="6BEF5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5" w:lineRule="auto"/>
              <w:ind w:left="1676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position w:val="-1"/>
                <w:sz w:val="16"/>
                <w:szCs w:val="16"/>
              </w:rPr>
              <w:t>客户回访</w:t>
            </w:r>
            <w:r>
              <w:rPr>
                <w:rFonts w:ascii="宋体" w:hAnsi="宋体" w:eastAsia="宋体" w:cs="宋体"/>
                <w:spacing w:val="5"/>
                <w:position w:val="-1"/>
                <w:sz w:val="16"/>
                <w:szCs w:val="16"/>
              </w:rPr>
              <w:t xml:space="preserve">         </w:t>
            </w:r>
            <w:r>
              <w:rPr>
                <w:rFonts w:ascii="宋体" w:hAnsi="宋体" w:eastAsia="宋体" w:cs="宋体"/>
                <w:spacing w:val="-1"/>
                <w:position w:val="1"/>
                <w:sz w:val="16"/>
                <w:szCs w:val="16"/>
              </w:rPr>
              <w:t>事件升级</w:t>
            </w:r>
          </w:p>
          <w:p w14:paraId="206BFB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91" w:lineRule="auto"/>
              <w:textAlignment w:val="baseline"/>
            </w:pPr>
          </w:p>
          <w:p w14:paraId="09AAE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84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4"/>
                <w:sz w:val="16"/>
                <w:szCs w:val="16"/>
              </w:rPr>
              <w:t>结束</w:t>
            </w:r>
          </w:p>
        </w:tc>
        <w:tc>
          <w:tcPr>
            <w:tcW w:w="1149" w:type="dxa"/>
            <w:vMerge w:val="continue"/>
            <w:tcBorders>
              <w:top w:val="nil"/>
            </w:tcBorders>
          </w:tcPr>
          <w:p w14:paraId="39B315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B252977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 w14:paraId="7475997A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</w:t>
      </w:r>
      <w:r>
        <w:t>一线工程师接听电话，记录客户信息,服务请求或故障申报信息。</w:t>
      </w:r>
    </w:p>
    <w:p w14:paraId="27556491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一线工程师直接处理、回复，记录解决方案。不能直接处理的事件需要查看历史事件、问题的解决记录以及知识库内容，匹配存在同类的事件或问题的处理方案，直接处理，记录解决方案。</w:t>
      </w:r>
    </w:p>
    <w:p w14:paraId="40B5F7C2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一线工程师无法处理完成，事件单转二线工程师，运维管理平台解决方法里记录初步解决判断的步骤，负责人员选择二线工程师，进行移交处理。</w:t>
      </w:r>
    </w:p>
    <w:p w14:paraId="5D1F5F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7798"/>
      <w:r>
        <w:t>二线处理解决流程</w:t>
      </w:r>
      <w:bookmarkEnd w:id="20"/>
    </w:p>
    <w:p w14:paraId="2F2B9CC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24"/>
        <w:tblW w:w="7315" w:type="dxa"/>
        <w:tblInd w:w="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2"/>
        <w:gridCol w:w="1141"/>
        <w:gridCol w:w="2924"/>
        <w:gridCol w:w="1642"/>
        <w:gridCol w:w="1080"/>
        <w:gridCol w:w="66"/>
      </w:tblGrid>
      <w:tr w14:paraId="7D2B1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7315" w:type="dxa"/>
            <w:gridSpan w:val="6"/>
          </w:tcPr>
          <w:p w14:paraId="786B72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6" w:line="220" w:lineRule="auto"/>
              <w:ind w:left="3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62336" behindDoc="1" locked="0" layoutInCell="1" allowOverlap="1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-3175</wp:posOffset>
                  </wp:positionV>
                  <wp:extent cx="4645025" cy="5926455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935" cy="592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lang w:val="en-US" w:eastAsia="zh-CN"/>
              </w:rPr>
              <w:t>二线</w:t>
            </w:r>
            <w:r>
              <w:rPr>
                <w:rFonts w:ascii="宋体" w:hAnsi="宋体" w:eastAsia="宋体" w:cs="宋体"/>
                <w:spacing w:val="3"/>
                <w:sz w:val="22"/>
                <w:szCs w:val="22"/>
              </w:rPr>
              <w:t>处理解决子流程</w:t>
            </w:r>
          </w:p>
        </w:tc>
      </w:tr>
      <w:tr w14:paraId="3CF9CA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462" w:type="dxa"/>
            <w:vMerge w:val="restart"/>
            <w:tcBorders>
              <w:bottom w:val="nil"/>
            </w:tcBorders>
          </w:tcPr>
          <w:p w14:paraId="27AFE4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</w:tcPr>
          <w:p w14:paraId="48115D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3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6"/>
                <w:sz w:val="18"/>
                <w:szCs w:val="18"/>
              </w:rPr>
              <w:t>输入</w:t>
            </w:r>
          </w:p>
        </w:tc>
        <w:tc>
          <w:tcPr>
            <w:tcW w:w="4566" w:type="dxa"/>
            <w:gridSpan w:val="2"/>
          </w:tcPr>
          <w:p w14:paraId="2FBC12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8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11"/>
                <w:sz w:val="18"/>
                <w:szCs w:val="18"/>
              </w:rPr>
              <w:t>二线工程师</w:t>
            </w:r>
          </w:p>
        </w:tc>
        <w:tc>
          <w:tcPr>
            <w:tcW w:w="1146" w:type="dxa"/>
            <w:gridSpan w:val="2"/>
          </w:tcPr>
          <w:p w14:paraId="192465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6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8"/>
                <w:sz w:val="18"/>
                <w:szCs w:val="18"/>
              </w:rPr>
              <w:t>输出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>/</w:t>
            </w:r>
            <w:r>
              <w:rPr>
                <w:rFonts w:ascii="宋体" w:hAnsi="宋体" w:eastAsia="宋体" w:cs="宋体"/>
                <w:spacing w:val="8"/>
                <w:sz w:val="18"/>
                <w:szCs w:val="18"/>
              </w:rPr>
              <w:t>工具</w:t>
            </w:r>
          </w:p>
        </w:tc>
      </w:tr>
      <w:tr w14:paraId="1FC0C1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5" w:hRule="atLeast"/>
        </w:trPr>
        <w:tc>
          <w:tcPr>
            <w:tcW w:w="462" w:type="dxa"/>
            <w:vMerge w:val="continue"/>
            <w:tcBorders>
              <w:top w:val="nil"/>
              <w:bottom w:val="nil"/>
            </w:tcBorders>
          </w:tcPr>
          <w:p w14:paraId="1D15D3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restart"/>
            <w:tcBorders>
              <w:bottom w:val="nil"/>
            </w:tcBorders>
          </w:tcPr>
          <w:p w14:paraId="380391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31B3D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03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事件单</w:t>
            </w:r>
          </w:p>
        </w:tc>
        <w:tc>
          <w:tcPr>
            <w:tcW w:w="4566" w:type="dxa"/>
            <w:gridSpan w:val="2"/>
            <w:tcBorders>
              <w:bottom w:val="nil"/>
            </w:tcBorders>
          </w:tcPr>
          <w:p w14:paraId="603D97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0" w:lineRule="auto"/>
              <w:textAlignment w:val="baseline"/>
            </w:pPr>
          </w:p>
          <w:p w14:paraId="15CBBE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5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7"/>
                <w:sz w:val="15"/>
                <w:szCs w:val="15"/>
              </w:rPr>
              <w:t>开始           受理升级事件</w:t>
            </w:r>
          </w:p>
          <w:p w14:paraId="5ED312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0" w:lineRule="auto"/>
              <w:textAlignment w:val="baseline"/>
            </w:pPr>
          </w:p>
          <w:p w14:paraId="6B723F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94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验证初步解决步骤</w:t>
            </w:r>
          </w:p>
          <w:p w14:paraId="42926C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0" w:lineRule="auto"/>
              <w:textAlignment w:val="baseline"/>
            </w:pPr>
          </w:p>
          <w:p w14:paraId="383206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55" w:lineRule="auto"/>
              <w:ind w:left="1797" w:right="2122" w:hanging="16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判定是否直</w:t>
            </w: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接解决</w:t>
            </w:r>
          </w:p>
          <w:p w14:paraId="662208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</w:pPr>
          </w:p>
          <w:p w14:paraId="3AAEA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left="1964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z w:val="15"/>
                <w:szCs w:val="15"/>
              </w:rPr>
              <w:t>否</w:t>
            </w:r>
          </w:p>
          <w:p w14:paraId="66FD85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494" w:firstLineChars="9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查找相关事件</w:t>
            </w:r>
          </w:p>
          <w:p w14:paraId="32E2529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76" w:lineRule="auto"/>
              <w:textAlignment w:val="baseline"/>
            </w:pPr>
          </w:p>
          <w:p w14:paraId="6F4271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353" w:lineRule="auto"/>
              <w:ind w:left="248" w:right="2122" w:firstLine="139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关联事件单</w:t>
            </w:r>
            <w:r>
              <w:rPr>
                <w:rFonts w:ascii="宋体" w:hAnsi="宋体" w:eastAsia="宋体" w:cs="宋体"/>
                <w:sz w:val="15"/>
                <w:szCs w:val="15"/>
              </w:rPr>
              <w:t>是</w:t>
            </w:r>
          </w:p>
          <w:p w14:paraId="14EB0B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2" w:line="229" w:lineRule="auto"/>
              <w:ind w:left="156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7"/>
                <w:sz w:val="15"/>
                <w:szCs w:val="15"/>
              </w:rPr>
              <w:t>匹配已知方案</w:t>
            </w:r>
          </w:p>
        </w:tc>
        <w:tc>
          <w:tcPr>
            <w:tcW w:w="1146" w:type="dxa"/>
            <w:gridSpan w:val="2"/>
            <w:tcBorders>
              <w:bottom w:val="nil"/>
            </w:tcBorders>
            <w:textDirection w:val="tbRl"/>
          </w:tcPr>
          <w:p w14:paraId="560E5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 w14:paraId="092195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30" w:lineRule="auto"/>
              <w:ind w:left="3990"/>
              <w:textAlignment w:val="baseline"/>
              <w:rPr>
                <w:rFonts w:hint="eastAsia" w:ascii="宋体" w:hAnsi="宋体" w:eastAsia="宋体" w:cs="宋体"/>
                <w:sz w:val="12"/>
                <w:szCs w:val="12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服务知识</w:t>
            </w:r>
          </w:p>
        </w:tc>
      </w:tr>
      <w:tr w14:paraId="4BF88A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462" w:type="dxa"/>
            <w:vMerge w:val="continue"/>
            <w:tcBorders>
              <w:top w:val="nil"/>
              <w:bottom w:val="nil"/>
            </w:tcBorders>
          </w:tcPr>
          <w:p w14:paraId="3D4C3F3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continue"/>
            <w:tcBorders>
              <w:top w:val="nil"/>
              <w:bottom w:val="nil"/>
            </w:tcBorders>
          </w:tcPr>
          <w:p w14:paraId="7A3F1B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24" w:type="dxa"/>
            <w:tcBorders>
              <w:top w:val="nil"/>
              <w:bottom w:val="nil"/>
              <w:right w:val="nil"/>
            </w:tcBorders>
          </w:tcPr>
          <w:p w14:paraId="3CD73D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9" w:lineRule="auto"/>
              <w:ind w:left="1642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pict>
                <v:shape id="_x0000_s1027" o:spid="_x0000_s1027" o:spt="202" type="#_x0000_t202" style="position:absolute;left:0pt;margin-left:96.15pt;margin-top:21.8pt;height:30.7pt;width:11pt;mso-position-horizontal-relative:page;mso-position-vertical-relative:page;z-index:251663360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 style="layout-flow:vertical-ideographic;">
                    <w:txbxContent>
                      <w:p w14:paraId="1809BF5A">
                        <w:pPr>
                          <w:spacing w:before="20" w:line="214" w:lineRule="auto"/>
                          <w:ind w:left="20"/>
                          <w:rPr>
                            <w:rFonts w:ascii="宋体" w:hAnsi="宋体" w:eastAsia="宋体" w:cs="宋体"/>
                            <w:sz w:val="15"/>
                            <w:szCs w:val="15"/>
                          </w:rPr>
                        </w:pPr>
                        <w:r>
                          <w:rPr>
                            <w:rFonts w:ascii="宋体" w:hAnsi="宋体" w:eastAsia="宋体" w:cs="宋体"/>
                            <w:spacing w:val="7"/>
                            <w:sz w:val="15"/>
                            <w:szCs w:val="15"/>
                          </w:rPr>
                          <w:t>决</w:t>
                        </w:r>
                        <w:r>
                          <w:rPr>
                            <w:rFonts w:ascii="宋体" w:hAnsi="宋体" w:eastAsia="宋体" w:cs="宋体"/>
                            <w:spacing w:val="11"/>
                            <w:sz w:val="15"/>
                            <w:szCs w:val="15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pacing w:val="7"/>
                            <w:sz w:val="15"/>
                            <w:szCs w:val="15"/>
                          </w:rPr>
                          <w:t>是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判定事件解</w:t>
            </w:r>
          </w:p>
          <w:p w14:paraId="060D9A1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4415B4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494528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3D97BC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22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处理并记录解决方案</w:t>
            </w:r>
          </w:p>
          <w:p w14:paraId="3C8E99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 w14:paraId="64739E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textAlignment w:val="baseline"/>
              <w:rPr>
                <w:rFonts w:ascii="宋体" w:hAnsi="宋体" w:eastAsia="宋体" w:cs="宋体"/>
                <w:spacing w:val="8"/>
                <w:sz w:val="15"/>
                <w:szCs w:val="15"/>
              </w:rPr>
            </w:pPr>
          </w:p>
          <w:p w14:paraId="231C48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660" w:firstLineChars="10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反馈处理结果</w:t>
            </w:r>
          </w:p>
        </w:tc>
        <w:tc>
          <w:tcPr>
            <w:tcW w:w="1642" w:type="dxa"/>
            <w:tcBorders>
              <w:top w:val="nil"/>
              <w:left w:val="nil"/>
              <w:bottom w:val="nil"/>
            </w:tcBorders>
          </w:tcPr>
          <w:p w14:paraId="0A8B9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9" w:line="229" w:lineRule="auto"/>
              <w:ind w:left="619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z w:val="15"/>
                <w:szCs w:val="15"/>
              </w:rPr>
              <w:t>否</w:t>
            </w:r>
          </w:p>
          <w:p w14:paraId="0AD704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7FC39C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26B23B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3F6DC5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61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记录分析判断步骤</w:t>
            </w:r>
          </w:p>
          <w:p w14:paraId="404EC32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textAlignment w:val="baseline"/>
            </w:pPr>
          </w:p>
          <w:p w14:paraId="6F56F0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firstLine="170" w:firstLineChars="1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进入问题管理流程</w:t>
            </w:r>
          </w:p>
        </w:tc>
        <w:tc>
          <w:tcPr>
            <w:tcW w:w="1080" w:type="dxa"/>
            <w:vMerge w:val="restart"/>
            <w:tcBorders>
              <w:top w:val="nil"/>
              <w:bottom w:val="nil"/>
              <w:right w:val="single" w:color="000000" w:sz="2" w:space="0"/>
            </w:tcBorders>
          </w:tcPr>
          <w:p w14:paraId="4A3729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68DE57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7EE6EF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1F1C97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0785219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6697478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8" w:lineRule="auto"/>
              <w:textAlignment w:val="baseline"/>
            </w:pPr>
          </w:p>
          <w:p w14:paraId="62DD55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20" w:lineRule="auto"/>
              <w:textAlignment w:val="baseline"/>
            </w:pPr>
          </w:p>
          <w:p w14:paraId="55FDF8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445" w:right="73" w:hanging="24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客户问题协</w:t>
            </w:r>
            <w:r>
              <w:rPr>
                <w:rFonts w:ascii="宋体" w:hAnsi="宋体" w:eastAsia="宋体" w:cs="宋体"/>
                <w:spacing w:val="4"/>
                <w:sz w:val="15"/>
                <w:szCs w:val="15"/>
              </w:rPr>
              <w:t>调单</w:t>
            </w:r>
          </w:p>
        </w:tc>
        <w:tc>
          <w:tcPr>
            <w:tcW w:w="66" w:type="dxa"/>
            <w:vMerge w:val="restart"/>
            <w:tcBorders>
              <w:top w:val="nil"/>
              <w:left w:val="single" w:color="000000" w:sz="2" w:space="0"/>
              <w:bottom w:val="nil"/>
            </w:tcBorders>
          </w:tcPr>
          <w:p w14:paraId="04923A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39E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3" w:hRule="atLeast"/>
        </w:trPr>
        <w:tc>
          <w:tcPr>
            <w:tcW w:w="462" w:type="dxa"/>
            <w:vMerge w:val="continue"/>
            <w:tcBorders>
              <w:top w:val="nil"/>
            </w:tcBorders>
          </w:tcPr>
          <w:p w14:paraId="198182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continue"/>
            <w:tcBorders>
              <w:top w:val="nil"/>
            </w:tcBorders>
          </w:tcPr>
          <w:p w14:paraId="789938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6" w:type="dxa"/>
            <w:gridSpan w:val="2"/>
            <w:tcBorders>
              <w:top w:val="nil"/>
            </w:tcBorders>
          </w:tcPr>
          <w:p w14:paraId="26D3AC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2" w:line="229" w:lineRule="auto"/>
              <w:ind w:left="1887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3"/>
                <w:sz w:val="15"/>
                <w:szCs w:val="15"/>
              </w:rPr>
              <w:t>结束</w:t>
            </w:r>
          </w:p>
        </w:tc>
        <w:tc>
          <w:tcPr>
            <w:tcW w:w="1080" w:type="dxa"/>
            <w:vMerge w:val="continue"/>
            <w:tcBorders>
              <w:top w:val="nil"/>
              <w:right w:val="single" w:color="000000" w:sz="2" w:space="0"/>
            </w:tcBorders>
          </w:tcPr>
          <w:p w14:paraId="554543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6" w:type="dxa"/>
            <w:vMerge w:val="continue"/>
            <w:tcBorders>
              <w:top w:val="nil"/>
              <w:left w:val="single" w:color="000000" w:sz="2" w:space="0"/>
            </w:tcBorders>
          </w:tcPr>
          <w:p w14:paraId="6CA379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767CF883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 w14:paraId="50E7316C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二线工程师登陆运维管理平台，对一线工程师转移的事件单进行查看、分析。</w:t>
      </w:r>
    </w:p>
    <w:p w14:paraId="4ADD8EFE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二线工程师可以直接处理，详细记录解决方案并反馈一线工程师，不能直接</w:t>
      </w:r>
    </w:p>
    <w:p w14:paraId="50B1D11B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处理需要沟通二线工程师，沟通后确定解决方案。</w:t>
      </w:r>
    </w:p>
    <w:p w14:paraId="0077B11B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确定解决方案过程中涉及到信息变更，需要进入问题管理流程。通过《问题协调单》进行移交。</w:t>
      </w:r>
    </w:p>
    <w:p w14:paraId="2D4E957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5625"/>
      <w:r>
        <w:t>事件等级及升级机制</w:t>
      </w:r>
      <w:bookmarkEnd w:id="21"/>
    </w:p>
    <w:p w14:paraId="236E4E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9404"/>
      <w:r>
        <w:t>事件等级划分</w:t>
      </w:r>
      <w:bookmarkEnd w:id="22"/>
    </w:p>
    <w:tbl>
      <w:tblPr>
        <w:tblStyle w:val="24"/>
        <w:tblW w:w="86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0"/>
        <w:gridCol w:w="1497"/>
        <w:gridCol w:w="6242"/>
      </w:tblGrid>
      <w:tr w14:paraId="1A2C2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20" w:type="dxa"/>
          </w:tcPr>
          <w:p w14:paraId="2BABF6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24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分类</w:t>
            </w:r>
          </w:p>
        </w:tc>
        <w:tc>
          <w:tcPr>
            <w:tcW w:w="1497" w:type="dxa"/>
          </w:tcPr>
          <w:p w14:paraId="607C8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0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  <w:tc>
          <w:tcPr>
            <w:tcW w:w="6242" w:type="dxa"/>
          </w:tcPr>
          <w:p w14:paraId="62FACE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</w:tr>
      <w:tr w14:paraId="59FCE1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920" w:type="dxa"/>
          </w:tcPr>
          <w:p w14:paraId="5C5669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1" w:lineRule="auto"/>
              <w:ind w:left="3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低</w:t>
            </w:r>
          </w:p>
        </w:tc>
        <w:tc>
          <w:tcPr>
            <w:tcW w:w="1497" w:type="dxa"/>
          </w:tcPr>
          <w:p w14:paraId="4F94C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0" w:lineRule="auto"/>
              <w:ind w:left="34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8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0A0868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14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不影响使用的新需求，不影响用户使用的程序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bug</w:t>
            </w:r>
          </w:p>
        </w:tc>
      </w:tr>
      <w:tr w14:paraId="365BA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 w:hRule="atLeast"/>
        </w:trPr>
        <w:tc>
          <w:tcPr>
            <w:tcW w:w="920" w:type="dxa"/>
          </w:tcPr>
          <w:p w14:paraId="31CC49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36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</w:t>
            </w:r>
          </w:p>
        </w:tc>
        <w:tc>
          <w:tcPr>
            <w:tcW w:w="1497" w:type="dxa"/>
          </w:tcPr>
          <w:p w14:paraId="170A91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29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4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136EA5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27" w:lineRule="auto"/>
              <w:ind w:left="118" w:right="130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升级时出现问题（影响数据录入的除外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），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查询数据，修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改数据的问题</w:t>
            </w:r>
          </w:p>
        </w:tc>
      </w:tr>
      <w:tr w14:paraId="3608FF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920" w:type="dxa"/>
          </w:tcPr>
          <w:p w14:paraId="24ED6D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4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高</w:t>
            </w:r>
          </w:p>
        </w:tc>
        <w:tc>
          <w:tcPr>
            <w:tcW w:w="1497" w:type="dxa"/>
          </w:tcPr>
          <w:p w14:paraId="10E92F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0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3EFF2F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19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数据上传的问题，严重故障的问题，影响系统使用的问题</w:t>
            </w:r>
          </w:p>
        </w:tc>
      </w:tr>
    </w:tbl>
    <w:p w14:paraId="670FC6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30026"/>
      <w:r>
        <w:t>事件升级机制</w:t>
      </w:r>
      <w:bookmarkEnd w:id="23"/>
    </w:p>
    <w:p w14:paraId="3283E1CA">
      <w:pPr>
        <w:pStyle w:val="39"/>
        <w:numPr>
          <w:ilvl w:val="0"/>
          <w:numId w:val="11"/>
        </w:numPr>
        <w:bidi w:val="0"/>
      </w:pPr>
      <w:r>
        <w:t>用户提出的服务请求是低等级的事件，如果影响现场工作需要进行紧急处理，将事件由低级升级为中级事件，一线工程师不能初步解决，需要事件升级到二线工程师，保证不影响现场的生产工作。</w:t>
      </w:r>
    </w:p>
    <w:p w14:paraId="4D94C361">
      <w:pPr>
        <w:pStyle w:val="39"/>
        <w:numPr>
          <w:ilvl w:val="0"/>
          <w:numId w:val="11"/>
        </w:numPr>
        <w:bidi w:val="0"/>
      </w:pPr>
      <w:r>
        <w:t>事件处理分析过程中，涉及到上传数据方面的情况，需要立即上升为高级事件，不能影响当天的数据上传到管理者代表。</w:t>
      </w:r>
    </w:p>
    <w:p w14:paraId="30171B6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1899"/>
      <w:r>
        <w:t>事件类别和产生原因描述</w:t>
      </w:r>
      <w:bookmarkEnd w:id="24"/>
    </w:p>
    <w:p w14:paraId="733F03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5" w:line="220" w:lineRule="auto"/>
        <w:ind w:left="517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事件类别</w:t>
      </w:r>
    </w:p>
    <w:tbl>
      <w:tblPr>
        <w:tblStyle w:val="24"/>
        <w:tblW w:w="7769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2"/>
        <w:gridCol w:w="5397"/>
      </w:tblGrid>
      <w:tr w14:paraId="3B0941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2372" w:type="dxa"/>
            <w:shd w:val="clear" w:color="auto" w:fill="BFBFBF"/>
          </w:tcPr>
          <w:p w14:paraId="76E2EE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397" w:type="dxa"/>
            <w:shd w:val="clear" w:color="auto" w:fill="BFBFBF"/>
          </w:tcPr>
          <w:p w14:paraId="1A5764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 w14:paraId="339E3EC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5BDAFA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20" w:lineRule="auto"/>
              <w:ind w:left="41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升级时出现问题</w:t>
            </w:r>
          </w:p>
        </w:tc>
        <w:tc>
          <w:tcPr>
            <w:tcW w:w="5397" w:type="dxa"/>
          </w:tcPr>
          <w:p w14:paraId="0A4F63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升级出错</w:t>
            </w:r>
          </w:p>
        </w:tc>
      </w:tr>
      <w:tr w14:paraId="4A53A2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0893D3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FD9E8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升级后程序无法正常使用</w:t>
            </w:r>
          </w:p>
        </w:tc>
      </w:tr>
      <w:tr w14:paraId="1FF6BE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583A65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3D94E5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升级后数据丢失、显示不正确</w:t>
            </w:r>
          </w:p>
        </w:tc>
      </w:tr>
      <w:tr w14:paraId="70A3E6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3558F1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5B6AED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8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升级后原有问题依然存在</w:t>
            </w:r>
          </w:p>
        </w:tc>
      </w:tr>
      <w:tr w14:paraId="18A69F0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BC74F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20" w:lineRule="auto"/>
              <w:ind w:left="41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使用时出现问题</w:t>
            </w:r>
          </w:p>
        </w:tc>
        <w:tc>
          <w:tcPr>
            <w:tcW w:w="5397" w:type="dxa"/>
          </w:tcPr>
          <w:p w14:paraId="0B032E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17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操作到某个模块无法录入</w:t>
            </w:r>
          </w:p>
        </w:tc>
      </w:tr>
      <w:tr w14:paraId="2E3A89C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7DB0DA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042A6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查询数据不准确</w:t>
            </w:r>
          </w:p>
        </w:tc>
      </w:tr>
      <w:tr w14:paraId="02A49E5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337F39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5DB7B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上传后上下数据不一致</w:t>
            </w:r>
          </w:p>
        </w:tc>
      </w:tr>
      <w:tr w14:paraId="67AFC2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CBA7F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5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处理业务数据</w:t>
            </w:r>
          </w:p>
        </w:tc>
        <w:tc>
          <w:tcPr>
            <w:tcW w:w="5397" w:type="dxa"/>
          </w:tcPr>
          <w:p w14:paraId="151128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业务数据需要补传</w:t>
            </w:r>
          </w:p>
        </w:tc>
      </w:tr>
      <w:tr w14:paraId="7978F5A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055B6C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9ED36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5" w:lineRule="auto"/>
              <w:ind w:left="5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已上传的业务数据需要查询和修改</w:t>
            </w:r>
          </w:p>
        </w:tc>
      </w:tr>
      <w:tr w14:paraId="0AA2CA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CA917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20" w:lineRule="auto"/>
              <w:ind w:left="20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咨询业务和使用信息</w:t>
            </w:r>
          </w:p>
        </w:tc>
        <w:tc>
          <w:tcPr>
            <w:tcW w:w="5397" w:type="dxa"/>
          </w:tcPr>
          <w:p w14:paraId="3165E6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5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咨询系统使用</w:t>
            </w:r>
          </w:p>
        </w:tc>
      </w:tr>
      <w:tr w14:paraId="62C190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36012E2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552B2B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4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咨询升级包存放地址，及升级如何操作</w:t>
            </w:r>
          </w:p>
        </w:tc>
      </w:tr>
      <w:tr w14:paraId="2BC78A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4BDB9AD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7863B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14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咨询传真号码</w:t>
            </w:r>
          </w:p>
        </w:tc>
      </w:tr>
      <w:tr w14:paraId="39D90C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76684C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290B2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咨询系统涉及到的硬件修理信息</w:t>
            </w:r>
          </w:p>
        </w:tc>
      </w:tr>
      <w:tr w14:paraId="27F9A8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5CB25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20" w:lineRule="auto"/>
              <w:ind w:left="85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397" w:type="dxa"/>
          </w:tcPr>
          <w:p w14:paraId="5E8A79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 w14:paraId="0DE1596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25D9AC8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67D1D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增加编码</w:t>
            </w:r>
          </w:p>
        </w:tc>
      </w:tr>
      <w:tr w14:paraId="2EDC48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282127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0" w:lineRule="auto"/>
              <w:ind w:left="52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业务沟通电话</w:t>
            </w:r>
          </w:p>
        </w:tc>
        <w:tc>
          <w:tcPr>
            <w:tcW w:w="5397" w:type="dxa"/>
          </w:tcPr>
          <w:p w14:paraId="43959F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直接找公司人员</w:t>
            </w:r>
          </w:p>
        </w:tc>
      </w:tr>
      <w:tr w14:paraId="54121C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4188BD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378D0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1" w:lineRule="auto"/>
              <w:ind w:left="5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同一故障多次来电</w:t>
            </w:r>
          </w:p>
        </w:tc>
      </w:tr>
      <w:tr w14:paraId="6AF145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14B28A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FA98F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遇忙代接</w:t>
            </w:r>
          </w:p>
        </w:tc>
      </w:tr>
      <w:tr w14:paraId="491B308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</w:tcPr>
          <w:p w14:paraId="0F221B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0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重新部署安装系统</w:t>
            </w:r>
          </w:p>
        </w:tc>
        <w:tc>
          <w:tcPr>
            <w:tcW w:w="5397" w:type="dxa"/>
          </w:tcPr>
          <w:p w14:paraId="5536E7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4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需要电话指导，远程操作重新安装系统环境</w:t>
            </w:r>
          </w:p>
        </w:tc>
      </w:tr>
      <w:tr w14:paraId="740C3E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</w:tcPr>
          <w:p w14:paraId="7E7294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74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现场服务</w:t>
            </w:r>
          </w:p>
        </w:tc>
        <w:tc>
          <w:tcPr>
            <w:tcW w:w="5397" w:type="dxa"/>
          </w:tcPr>
          <w:p w14:paraId="314D38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4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需要现场进行部署、修改系统环境</w:t>
            </w:r>
          </w:p>
        </w:tc>
      </w:tr>
      <w:tr w14:paraId="54E0FD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left w:val="single" w:color="000000" w:sz="4" w:space="0"/>
              <w:bottom w:val="nil"/>
            </w:tcBorders>
          </w:tcPr>
          <w:p w14:paraId="4CADAB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74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培训服务</w:t>
            </w:r>
          </w:p>
        </w:tc>
        <w:tc>
          <w:tcPr>
            <w:tcW w:w="5397" w:type="dxa"/>
          </w:tcPr>
          <w:p w14:paraId="732751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对公司内部进行系统业务培训</w:t>
            </w:r>
          </w:p>
        </w:tc>
      </w:tr>
      <w:tr w14:paraId="1B94B5B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left w:val="single" w:color="000000" w:sz="4" w:space="0"/>
            </w:tcBorders>
          </w:tcPr>
          <w:p w14:paraId="3C82EB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1CB10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对现场使用人员进行系统业务培训</w:t>
            </w:r>
          </w:p>
        </w:tc>
      </w:tr>
      <w:tr w14:paraId="0F63647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3409F7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20" w:lineRule="auto"/>
              <w:ind w:left="5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用户购买需求</w:t>
            </w:r>
          </w:p>
        </w:tc>
        <w:tc>
          <w:tcPr>
            <w:tcW w:w="5397" w:type="dxa"/>
          </w:tcPr>
          <w:p w14:paraId="25AE54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新系统的购买需求</w:t>
            </w:r>
          </w:p>
        </w:tc>
      </w:tr>
      <w:tr w14:paraId="4B1D51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698877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772FE3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5" w:line="213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对原有设备和系统的购买需求</w:t>
            </w:r>
          </w:p>
        </w:tc>
      </w:tr>
    </w:tbl>
    <w:p w14:paraId="244B21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7" w:line="211" w:lineRule="auto"/>
        <w:ind w:left="166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4"/>
          <w:sz w:val="24"/>
          <w:szCs w:val="24"/>
        </w:rPr>
        <w:t>事件的产生原因</w:t>
      </w:r>
    </w:p>
    <w:tbl>
      <w:tblPr>
        <w:tblStyle w:val="24"/>
        <w:tblW w:w="7770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93"/>
        <w:gridCol w:w="5577"/>
      </w:tblGrid>
      <w:tr w14:paraId="6CAFBF2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2193" w:type="dxa"/>
            <w:shd w:val="clear" w:color="auto" w:fill="BFBFBF"/>
          </w:tcPr>
          <w:p w14:paraId="7F39DE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65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577" w:type="dxa"/>
            <w:shd w:val="clear" w:color="auto" w:fill="BFBFBF"/>
          </w:tcPr>
          <w:p w14:paraId="395F86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234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 w14:paraId="4264CAA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0C2702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21" w:lineRule="auto"/>
              <w:ind w:left="66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系统问题</w:t>
            </w:r>
          </w:p>
        </w:tc>
        <w:tc>
          <w:tcPr>
            <w:tcW w:w="5577" w:type="dxa"/>
          </w:tcPr>
          <w:p w14:paraId="01D649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7" w:lineRule="auto"/>
              <w:ind w:left="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正常操作系统报错</w:t>
            </w:r>
          </w:p>
        </w:tc>
      </w:tr>
      <w:tr w14:paraId="551BCA4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  <w:bottom w:val="nil"/>
            </w:tcBorders>
          </w:tcPr>
          <w:p w14:paraId="240035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0D3B04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某个模块功能不能使用</w:t>
            </w:r>
          </w:p>
        </w:tc>
      </w:tr>
      <w:tr w14:paraId="75239B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72268AA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179DAC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4" w:lineRule="auto"/>
              <w:ind w:left="4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同一个问题，三个以上单位出现定义系统bug</w:t>
            </w:r>
          </w:p>
        </w:tc>
      </w:tr>
      <w:tr w14:paraId="0A4575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21C7A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20" w:lineRule="auto"/>
              <w:ind w:left="4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用户使用不当</w:t>
            </w:r>
          </w:p>
        </w:tc>
        <w:tc>
          <w:tcPr>
            <w:tcW w:w="5577" w:type="dxa"/>
          </w:tcPr>
          <w:p w14:paraId="434458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前台操作系统错误</w:t>
            </w:r>
          </w:p>
        </w:tc>
      </w:tr>
      <w:tr w14:paraId="2A903AB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08CF72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4AC52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不按正常流程进行操作</w:t>
            </w:r>
          </w:p>
        </w:tc>
      </w:tr>
      <w:tr w14:paraId="3D42BE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775F67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0" w:lineRule="auto"/>
              <w:ind w:left="3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不了解升级信息</w:t>
            </w:r>
          </w:p>
        </w:tc>
        <w:tc>
          <w:tcPr>
            <w:tcW w:w="5577" w:type="dxa"/>
          </w:tcPr>
          <w:p w14:paraId="7A970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没有接收到升级通知</w:t>
            </w:r>
          </w:p>
        </w:tc>
      </w:tr>
      <w:tr w14:paraId="665CED9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6FC232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574578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升级没有按下载中心发布的版本进行升级</w:t>
            </w:r>
          </w:p>
        </w:tc>
      </w:tr>
      <w:tr w14:paraId="746CD09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</w:tcPr>
          <w:p w14:paraId="7804F8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76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577" w:type="dxa"/>
          </w:tcPr>
          <w:p w14:paraId="340EED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 w14:paraId="3E31480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21142A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9" w:lineRule="auto"/>
              <w:ind w:left="65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不会使用</w:t>
            </w:r>
          </w:p>
        </w:tc>
        <w:tc>
          <w:tcPr>
            <w:tcW w:w="5577" w:type="dxa"/>
          </w:tcPr>
          <w:p w14:paraId="3BED1A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不了系统使用功能</w:t>
            </w:r>
          </w:p>
        </w:tc>
      </w:tr>
      <w:tr w14:paraId="69230E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374D7CD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58640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新来人员没有进行交接，不会使用该系统操作</w:t>
            </w:r>
          </w:p>
        </w:tc>
      </w:tr>
      <w:tr w14:paraId="0B8C9E5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2193" w:type="dxa"/>
          </w:tcPr>
          <w:p w14:paraId="0459C2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65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不明原因</w:t>
            </w:r>
          </w:p>
        </w:tc>
        <w:tc>
          <w:tcPr>
            <w:tcW w:w="5577" w:type="dxa"/>
          </w:tcPr>
          <w:p w14:paraId="6E263F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分析原因不明确，直接处理得到结果</w:t>
            </w:r>
          </w:p>
        </w:tc>
      </w:tr>
    </w:tbl>
    <w:p w14:paraId="2D626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63815C8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9659"/>
      <w:r>
        <w:t>关键绩效指标</w:t>
      </w:r>
      <w:bookmarkEnd w:id="25"/>
    </w:p>
    <w:p w14:paraId="6D72CE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7" w:lineRule="exact"/>
        <w:textAlignment w:val="baseline"/>
      </w:pPr>
    </w:p>
    <w:tbl>
      <w:tblPr>
        <w:tblStyle w:val="24"/>
        <w:tblW w:w="7975" w:type="dxa"/>
        <w:tblInd w:w="1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1956"/>
        <w:gridCol w:w="3204"/>
        <w:gridCol w:w="1152"/>
        <w:gridCol w:w="900"/>
      </w:tblGrid>
      <w:tr w14:paraId="222C59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63" w:type="dxa"/>
            <w:shd w:val="clear" w:color="auto" w:fill="C0C0C0"/>
          </w:tcPr>
          <w:p w14:paraId="704C05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序号</w:t>
            </w:r>
          </w:p>
        </w:tc>
        <w:tc>
          <w:tcPr>
            <w:tcW w:w="1956" w:type="dxa"/>
            <w:shd w:val="clear" w:color="auto" w:fill="C0C0C0"/>
          </w:tcPr>
          <w:p w14:paraId="3D3A99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衡量指标</w:t>
            </w:r>
          </w:p>
        </w:tc>
        <w:tc>
          <w:tcPr>
            <w:tcW w:w="3204" w:type="dxa"/>
            <w:shd w:val="clear" w:color="auto" w:fill="C0C0C0"/>
          </w:tcPr>
          <w:p w14:paraId="3B9679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指标计算说明</w:t>
            </w:r>
          </w:p>
        </w:tc>
        <w:tc>
          <w:tcPr>
            <w:tcW w:w="1152" w:type="dxa"/>
            <w:shd w:val="clear" w:color="auto" w:fill="C0C0C0"/>
          </w:tcPr>
          <w:p w14:paraId="23D850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2"/>
                <w:szCs w:val="22"/>
                <w:lang w:val="en-US" w:eastAsia="zh-CN"/>
              </w:rPr>
              <w:t>考核频次</w:t>
            </w:r>
          </w:p>
        </w:tc>
        <w:tc>
          <w:tcPr>
            <w:tcW w:w="900" w:type="dxa"/>
            <w:shd w:val="clear" w:color="auto" w:fill="C0C0C0"/>
          </w:tcPr>
          <w:p w14:paraId="347AF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2"/>
                <w:szCs w:val="22"/>
                <w:lang w:val="en-US" w:eastAsia="zh-CN"/>
              </w:rPr>
              <w:t>目标值</w:t>
            </w:r>
          </w:p>
        </w:tc>
      </w:tr>
      <w:tr w14:paraId="073FC9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63" w:type="dxa"/>
          </w:tcPr>
          <w:p w14:paraId="6773A1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956" w:type="dxa"/>
          </w:tcPr>
          <w:p w14:paraId="304BC4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事件解决率</w:t>
            </w:r>
          </w:p>
        </w:tc>
        <w:tc>
          <w:tcPr>
            <w:tcW w:w="3204" w:type="dxa"/>
          </w:tcPr>
          <w:p w14:paraId="6D6477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成功解决事件数/已关闭事件总数*100%</w:t>
            </w:r>
          </w:p>
        </w:tc>
        <w:tc>
          <w:tcPr>
            <w:tcW w:w="1152" w:type="dxa"/>
          </w:tcPr>
          <w:p w14:paraId="3434AF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</w:tcPr>
          <w:p w14:paraId="6E4F43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781C5A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63" w:type="dxa"/>
          </w:tcPr>
          <w:p w14:paraId="1D2644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956" w:type="dxa"/>
          </w:tcPr>
          <w:p w14:paraId="7A84B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事件按时解决率</w:t>
            </w:r>
          </w:p>
        </w:tc>
        <w:tc>
          <w:tcPr>
            <w:tcW w:w="3204" w:type="dxa"/>
          </w:tcPr>
          <w:p w14:paraId="3F928F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08" w:right="201" w:firstLine="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按照事件等级规定时间内解决的事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件数/已关闭事件总数*100%</w:t>
            </w:r>
          </w:p>
        </w:tc>
        <w:tc>
          <w:tcPr>
            <w:tcW w:w="1152" w:type="dxa"/>
          </w:tcPr>
          <w:p w14:paraId="110762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</w:tcPr>
          <w:p w14:paraId="318B45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8" w:line="222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26C44A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763" w:type="dxa"/>
          </w:tcPr>
          <w:p w14:paraId="150AC2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1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1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956" w:type="dxa"/>
          </w:tcPr>
          <w:p w14:paraId="6FD75A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事件回访的及时率</w:t>
            </w:r>
          </w:p>
        </w:tc>
        <w:tc>
          <w:tcPr>
            <w:tcW w:w="3204" w:type="dxa"/>
          </w:tcPr>
          <w:p w14:paraId="3189E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5" w:right="300" w:hanging="4"/>
              <w:textAlignment w:val="baseline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按时回访的事件数量/已回访的事件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总数</w:t>
            </w: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*100%</w:t>
            </w:r>
          </w:p>
        </w:tc>
        <w:tc>
          <w:tcPr>
            <w:tcW w:w="1152" w:type="dxa"/>
          </w:tcPr>
          <w:p w14:paraId="57DE5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按季度</w:t>
            </w:r>
          </w:p>
        </w:tc>
        <w:tc>
          <w:tcPr>
            <w:tcW w:w="900" w:type="dxa"/>
          </w:tcPr>
          <w:p w14:paraId="49C648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5" w:line="23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</w:tbl>
    <w:p w14:paraId="5A74572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28228"/>
      <w:r>
        <w:t>相关文件及模板</w:t>
      </w:r>
      <w:bookmarkEnd w:id="26"/>
    </w:p>
    <w:p w14:paraId="5268958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bookmark26"/>
      <w:bookmarkEnd w:id="27"/>
      <w:bookmarkStart w:id="28" w:name="_Toc1420"/>
      <w:r>
        <w:t>文档模板</w:t>
      </w:r>
      <w:bookmarkEnd w:id="28"/>
    </w:p>
    <w:p w14:paraId="77579F61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《客户问题协调单》</w:t>
      </w:r>
    </w:p>
    <w:p w14:paraId="13B044A1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《事件记录单》</w:t>
      </w:r>
    </w:p>
    <w:p w14:paraId="20F2183A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《事件信息统计表》</w:t>
      </w:r>
    </w:p>
    <w:sectPr>
      <w:footerReference r:id="rId6" w:type="default"/>
      <w:pgSz w:w="11906" w:h="16839"/>
      <w:pgMar w:top="1431" w:right="1785" w:bottom="1375" w:left="1762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63DC16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6B2555">
    <w:pPr>
      <w:spacing w:line="167" w:lineRule="auto"/>
      <w:ind w:left="415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FFC9E4"/>
    <w:multiLevelType w:val="singleLevel"/>
    <w:tmpl w:val="BCFFC9E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66F5042"/>
    <w:multiLevelType w:val="singleLevel"/>
    <w:tmpl w:val="D66F50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E0DDD2B"/>
    <w:multiLevelType w:val="singleLevel"/>
    <w:tmpl w:val="DE0DDD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0E9F205"/>
    <w:multiLevelType w:val="singleLevel"/>
    <w:tmpl w:val="E0E9F2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Theme="minorAscii" w:hAnsiTheme="minorAscii"/>
      </w:rPr>
    </w:lvl>
  </w:abstractNum>
  <w:abstractNum w:abstractNumId="5">
    <w:nsid w:val="EC6D3821"/>
    <w:multiLevelType w:val="singleLevel"/>
    <w:tmpl w:val="EC6D38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9E8ABC6"/>
    <w:multiLevelType w:val="singleLevel"/>
    <w:tmpl w:val="F9E8AB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F6786A6"/>
    <w:multiLevelType w:val="singleLevel"/>
    <w:tmpl w:val="0F6786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9FD98FF"/>
    <w:multiLevelType w:val="singleLevel"/>
    <w:tmpl w:val="29FD98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ECBDF3"/>
    <w:multiLevelType w:val="singleLevel"/>
    <w:tmpl w:val="5FECBD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38601AF"/>
    <w:multiLevelType w:val="singleLevel"/>
    <w:tmpl w:val="638601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11C8DD5"/>
    <w:multiLevelType w:val="singleLevel"/>
    <w:tmpl w:val="711C8DD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4"/>
  </w:num>
  <w:num w:numId="5">
    <w:abstractNumId w:val="7"/>
  </w:num>
  <w:num w:numId="6">
    <w:abstractNumId w:val="11"/>
  </w:num>
  <w:num w:numId="7">
    <w:abstractNumId w:val="6"/>
  </w:num>
  <w:num w:numId="8">
    <w:abstractNumId w:val="3"/>
  </w:num>
  <w:num w:numId="9">
    <w:abstractNumId w:val="1"/>
  </w:num>
  <w:num w:numId="10">
    <w:abstractNumId w:val="1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240910"/>
    <w:rsid w:val="7C9976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link w:val="42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标题4 Char"/>
    <w:link w:val="40"/>
    <w:qFormat/>
    <w:uiPriority w:val="0"/>
    <w:rPr>
      <w:rFonts w:hint="eastAsia" w:ascii="Calibri" w:hAnsi="Calibri" w:eastAsia="宋体" w:cs="宋体"/>
      <w:sz w:val="24"/>
      <w:szCs w:val="24"/>
      <w:lang w:eastAsia="zh-CN" w:bidi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5"/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3749</Words>
  <Characters>3898</Characters>
  <Lines>0</Lines>
  <Paragraphs>0</Paragraphs>
  <TotalTime>0</TotalTime>
  <ScaleCrop>false</ScaleCrop>
  <LinksUpToDate>false</LinksUpToDate>
  <CharactersWithSpaces>4028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2025-08-21T04:41:00Z</dcterms:created>
  <dc:creator>谢永刚</dc:creator>
  <cp:lastModifiedBy>郝宇</cp:lastModifiedBy>
  <dcterms:modified xsi:type="dcterms:W3CDTF">2026-02-07T08:12:04Z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2025-08-27T11:45:14Z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B062E6F6710B40B49228BB48152E7911_12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