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4AD36D">
      <w:pPr>
        <w:pStyle w:val="35"/>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27957A9A">
      <w:pPr>
        <w:pStyle w:val="35"/>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0" w:name="_Toc27630"/>
      <w:r>
        <w:rPr>
          <w:rFonts w:hint="eastAsia"/>
          <w:lang w:val="en-US" w:eastAsia="zh-CN"/>
        </w:rPr>
        <w:t>服务可用性和业务连续性管理制度</w:t>
      </w:r>
      <w:bookmarkEnd w:id="0"/>
    </w:p>
    <w:p w14:paraId="023C1AC1">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3463"/>
      <w:r>
        <w:t>中达丰集团有限公司</w:t>
      </w:r>
      <w:bookmarkEnd w:id="1"/>
    </w:p>
    <w:p w14:paraId="551A9577">
      <w:pPr>
        <w:keepNext w:val="0"/>
        <w:keepLines w:val="0"/>
        <w:pageBreakBefore w:val="0"/>
        <w:widowControl w:val="0"/>
        <w:kinsoku w:val="0"/>
        <w:wordWrap/>
        <w:overflowPunct/>
        <w:topLinePunct w:val="0"/>
        <w:autoSpaceDE w:val="0"/>
        <w:autoSpaceDN w:val="0"/>
        <w:bidi w:val="0"/>
        <w:adjustRightInd w:val="0"/>
        <w:snapToGrid w:val="0"/>
        <w:spacing w:before="117" w:line="219" w:lineRule="auto"/>
        <w:jc w:val="center"/>
        <w:textAlignment w:val="baseline"/>
        <w:rPr>
          <w:rFonts w:ascii="宋体" w:hAnsi="宋体" w:eastAsia="宋体" w:cs="宋体"/>
          <w:spacing w:val="-2"/>
          <w:sz w:val="36"/>
          <w:szCs w:val="36"/>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4</w:t>
      </w:r>
      <w:r>
        <w:rPr>
          <w:rFonts w:ascii="宋体" w:hAnsi="宋体" w:eastAsia="宋体" w:cs="宋体"/>
          <w:spacing w:val="-2"/>
          <w:sz w:val="36"/>
          <w:szCs w:val="36"/>
        </w:rPr>
        <w:t>-04</w:t>
      </w:r>
      <w:r>
        <w:rPr>
          <w:rFonts w:ascii="宋体" w:hAnsi="宋体" w:eastAsia="宋体" w:cs="宋体"/>
          <w:spacing w:val="-2"/>
          <w:sz w:val="36"/>
          <w:szCs w:val="36"/>
        </w:rPr>
        <w:br w:type="page"/>
      </w:r>
    </w:p>
    <w:p w14:paraId="7DCACC6F">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619"/>
      <w:r>
        <w:rPr>
          <w:rFonts w:ascii="宋体" w:hAnsi="宋体" w:eastAsia="宋体" w:cs="宋体"/>
          <w:spacing w:val="-2"/>
          <w:sz w:val="21"/>
          <w:szCs w:val="21"/>
        </w:rPr>
        <w:t>文档信息</w:t>
      </w:r>
      <w:bookmarkEnd w:id="2"/>
    </w:p>
    <w:p w14:paraId="3C184B27">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8"/>
        <w:tblW w:w="90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45859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jc w:val="center"/>
        </w:trPr>
        <w:tc>
          <w:tcPr>
            <w:tcW w:w="1704" w:type="dxa"/>
          </w:tcPr>
          <w:p w14:paraId="5C1B4B7C">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14:paraId="5BF2E9C4">
            <w:pPr>
              <w:pStyle w:val="29"/>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hint="eastAsia" w:eastAsia="宋体"/>
                <w:spacing w:val="-1"/>
                <w:lang w:val="en-US" w:eastAsia="zh-CN"/>
              </w:rPr>
              <w:t>服务可用性和业务连续性管理</w:t>
            </w:r>
            <w:r>
              <w:rPr>
                <w:rFonts w:hint="eastAsia"/>
                <w:spacing w:val="-1"/>
                <w:lang w:val="en-US" w:eastAsia="zh-CN"/>
              </w:rPr>
              <w:t>制度</w:t>
            </w:r>
            <w:r>
              <w:rPr>
                <w:spacing w:val="-1"/>
              </w:rPr>
              <w:t>（ZDFJT-ITSS-</w:t>
            </w:r>
            <w:r>
              <w:rPr>
                <w:rFonts w:hint="eastAsia" w:eastAsia="宋体"/>
                <w:spacing w:val="-1"/>
                <w:lang w:val="en-US" w:eastAsia="zh-CN"/>
              </w:rPr>
              <w:t>FWKYX/YWLXX</w:t>
            </w:r>
            <w:r>
              <w:rPr>
                <w:spacing w:val="-1"/>
              </w:rPr>
              <w:t>）</w:t>
            </w:r>
          </w:p>
        </w:tc>
      </w:tr>
      <w:tr w14:paraId="4CA97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704" w:type="dxa"/>
          </w:tcPr>
          <w:p w14:paraId="705F928C">
            <w:pPr>
              <w:pStyle w:val="29"/>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14:paraId="70AA2F92">
            <w:pPr>
              <w:pStyle w:val="29"/>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中达丰集团有限公司</w:t>
            </w:r>
          </w:p>
        </w:tc>
      </w:tr>
      <w:tr w14:paraId="3E8C5B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jc w:val="center"/>
        </w:trPr>
        <w:tc>
          <w:tcPr>
            <w:tcW w:w="1704" w:type="dxa"/>
          </w:tcPr>
          <w:p w14:paraId="72BC1D47">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14:paraId="59EC54DC">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14:paraId="19DC1296">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14:paraId="646FEE53">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14:paraId="5649A4A1">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14:paraId="515E5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4A53E015">
            <w:pPr>
              <w:pStyle w:val="29"/>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14:paraId="6CE83ADC">
            <w:pPr>
              <w:pStyle w:val="29"/>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pPr>
            <w:r>
              <w:rPr>
                <w:spacing w:val="-2"/>
              </w:rPr>
              <w:t>2025-4-4</w:t>
            </w:r>
          </w:p>
        </w:tc>
        <w:tc>
          <w:tcPr>
            <w:tcW w:w="2302" w:type="dxa"/>
          </w:tcPr>
          <w:p w14:paraId="13F45EB2">
            <w:pPr>
              <w:pStyle w:val="29"/>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14:paraId="7C533D0C">
            <w:pPr>
              <w:pStyle w:val="29"/>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eastAsia="宋体"/>
                <w:lang w:val="en-US" w:eastAsia="zh-CN"/>
              </w:rPr>
            </w:pPr>
            <w:r>
              <w:rPr>
                <w:rFonts w:hint="eastAsia"/>
                <w:lang w:val="en-US" w:eastAsia="zh-CN"/>
              </w:rPr>
              <w:t>肖龙莽</w:t>
            </w:r>
          </w:p>
        </w:tc>
        <w:tc>
          <w:tcPr>
            <w:tcW w:w="1953" w:type="dxa"/>
          </w:tcPr>
          <w:p w14:paraId="48B9EDC8">
            <w:pPr>
              <w:pStyle w:val="29"/>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吴向阳</w:t>
            </w:r>
          </w:p>
        </w:tc>
      </w:tr>
      <w:tr w14:paraId="5EC1F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3CAF6752">
            <w:pPr>
              <w:pStyle w:val="29"/>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14:paraId="46C5A069">
            <w:pPr>
              <w:pStyle w:val="29"/>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14:paraId="6F1F372F">
            <w:pPr>
              <w:pStyle w:val="29"/>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14:paraId="4F32DF8E">
            <w:pPr>
              <w:pStyle w:val="29"/>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14:paraId="45C9329B">
            <w:pPr>
              <w:pStyle w:val="29"/>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14:paraId="09E9B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5A1C66B5">
            <w:pPr>
              <w:pStyle w:val="29"/>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14:paraId="3214C15B">
            <w:pPr>
              <w:pStyle w:val="29"/>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14:paraId="181140A4">
            <w:pPr>
              <w:pStyle w:val="29"/>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14:paraId="45DC734B">
            <w:pPr>
              <w:pStyle w:val="29"/>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14:paraId="0CED5BA5">
            <w:pPr>
              <w:pStyle w:val="29"/>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14:paraId="7363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36F514F1">
            <w:pPr>
              <w:pStyle w:val="29"/>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14:paraId="798F50BE">
            <w:pPr>
              <w:pStyle w:val="29"/>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14:paraId="4052ECE7">
            <w:pPr>
              <w:pStyle w:val="29"/>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14:paraId="4B84121B">
            <w:pPr>
              <w:pStyle w:val="29"/>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14:paraId="0FE46AB1">
            <w:pPr>
              <w:pStyle w:val="29"/>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14:paraId="0319C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36" w:hRule="atLeast"/>
          <w:jc w:val="center"/>
        </w:trPr>
        <w:tc>
          <w:tcPr>
            <w:tcW w:w="1704" w:type="dxa"/>
          </w:tcPr>
          <w:p w14:paraId="51464FC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14:paraId="5481941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1BA7941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3DF35DE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35ED8D7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6F0171D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Times New Roman" w:cs="Times New Roman"/>
          <w:b/>
          <w:bCs/>
          <w:spacing w:val="-19"/>
          <w:sz w:val="28"/>
          <w:szCs w:val="28"/>
        </w:rPr>
        <w:sectPr>
          <w:headerReference r:id="rId5" w:type="default"/>
          <w:footerReference r:id="rId6" w:type="default"/>
          <w:pgSz w:w="11906" w:h="16838"/>
          <w:pgMar w:top="1440" w:right="1800" w:bottom="1440" w:left="1800" w:header="851" w:footer="992" w:gutter="0"/>
          <w:cols w:space="425" w:num="1"/>
          <w:docGrid w:type="lines" w:linePitch="312" w:charSpace="0"/>
        </w:sectPr>
      </w:pPr>
    </w:p>
    <w:sdt>
      <w:sdtPr>
        <w:rPr>
          <w:rFonts w:ascii="宋体" w:hAnsi="宋体" w:eastAsia="宋体" w:cs="Arial"/>
          <w:snapToGrid w:val="0"/>
          <w:color w:val="000000"/>
          <w:kern w:val="0"/>
          <w:sz w:val="21"/>
          <w:szCs w:val="21"/>
          <w:lang w:val="en-US" w:eastAsia="en-US" w:bidi="ar-SA"/>
        </w:rPr>
        <w:id w:val="147456823"/>
        <w:docPartObj>
          <w:docPartGallery w:val="Table of Contents"/>
          <w:docPartUnique/>
        </w:docPartObj>
      </w:sdtPr>
      <w:sdtEndPr>
        <w:rPr>
          <w:rFonts w:ascii="Times New Roman" w:hAnsi="Times New Roman" w:eastAsia="Times New Roman" w:cs="Times New Roman"/>
          <w:bCs/>
          <w:snapToGrid w:val="0"/>
          <w:color w:val="000000"/>
          <w:spacing w:val="-19"/>
          <w:kern w:val="0"/>
          <w:sz w:val="21"/>
          <w:szCs w:val="28"/>
          <w:lang w:val="en-US" w:eastAsia="en-US" w:bidi="ar-SA"/>
        </w:rPr>
      </w:sdtEndPr>
      <w:sdtContent>
        <w:p w14:paraId="072C5E3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2226EB3">
          <w:pPr>
            <w:pStyle w:val="17"/>
            <w:tabs>
              <w:tab w:val="right" w:leader="dot" w:pos="9256"/>
            </w:tabs>
          </w:pPr>
          <w:r>
            <w:rPr>
              <w:rFonts w:ascii="Times New Roman" w:hAnsi="Times New Roman" w:eastAsia="Times New Roman" w:cs="Times New Roman"/>
              <w:b/>
              <w:bCs/>
              <w:spacing w:val="-19"/>
              <w:sz w:val="28"/>
              <w:szCs w:val="28"/>
            </w:rPr>
            <w:fldChar w:fldCharType="begin"/>
          </w:r>
          <w:r>
            <w:rPr>
              <w:rFonts w:ascii="Times New Roman" w:hAnsi="Times New Roman" w:eastAsia="Times New Roman" w:cs="Times New Roman"/>
              <w:b/>
              <w:bCs/>
              <w:spacing w:val="-19"/>
              <w:sz w:val="28"/>
              <w:szCs w:val="28"/>
            </w:rPr>
            <w:instrText xml:space="preserve">TOC \o "1-3" \h \u </w:instrText>
          </w:r>
          <w:r>
            <w:rPr>
              <w:rFonts w:ascii="Times New Roman" w:hAnsi="Times New Roman" w:eastAsia="Times New Roman" w:cs="Times New Roman"/>
              <w:b/>
              <w:bCs/>
              <w:spacing w:val="-19"/>
              <w:sz w:val="28"/>
              <w:szCs w:val="28"/>
            </w:rPr>
            <w:fldChar w:fldCharType="separate"/>
          </w: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_Toc27630 </w:instrText>
          </w:r>
          <w:r>
            <w:rPr>
              <w:rFonts w:ascii="Times New Roman" w:hAnsi="Times New Roman" w:eastAsia="Times New Roman" w:cs="Times New Roman"/>
              <w:bCs/>
              <w:spacing w:val="-19"/>
              <w:szCs w:val="28"/>
            </w:rPr>
            <w:fldChar w:fldCharType="separate"/>
          </w:r>
          <w:r>
            <w:rPr>
              <w:rFonts w:hint="eastAsia"/>
              <w:lang w:val="en-US" w:eastAsia="zh-CN"/>
            </w:rPr>
            <w:t>服务可用性和业务连续性管理制度</w:t>
          </w:r>
          <w:r>
            <w:tab/>
          </w:r>
          <w:r>
            <w:fldChar w:fldCharType="begin"/>
          </w:r>
          <w:r>
            <w:instrText xml:space="preserve"> PAGEREF _Toc27630 \h </w:instrText>
          </w:r>
          <w:r>
            <w:fldChar w:fldCharType="separate"/>
          </w:r>
          <w:r>
            <w:t>1</w:t>
          </w:r>
          <w:r>
            <w:fldChar w:fldCharType="end"/>
          </w:r>
          <w:r>
            <w:rPr>
              <w:rFonts w:ascii="Times New Roman" w:hAnsi="Times New Roman" w:eastAsia="Times New Roman" w:cs="Times New Roman"/>
              <w:bCs/>
              <w:spacing w:val="-19"/>
              <w:szCs w:val="28"/>
            </w:rPr>
            <w:fldChar w:fldCharType="end"/>
          </w:r>
        </w:p>
        <w:p w14:paraId="0219D7A1">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_Toc23463 </w:instrText>
          </w:r>
          <w:r>
            <w:rPr>
              <w:rFonts w:ascii="Times New Roman" w:hAnsi="Times New Roman" w:eastAsia="Times New Roman" w:cs="Times New Roman"/>
              <w:bCs/>
              <w:spacing w:val="-19"/>
              <w:szCs w:val="28"/>
            </w:rPr>
            <w:fldChar w:fldCharType="separate"/>
          </w:r>
          <w:r>
            <w:t>中达丰集团有限公司</w:t>
          </w:r>
          <w:r>
            <w:tab/>
          </w:r>
          <w:r>
            <w:fldChar w:fldCharType="begin"/>
          </w:r>
          <w:r>
            <w:instrText xml:space="preserve"> PAGEREF _Toc23463 \h </w:instrText>
          </w:r>
          <w:r>
            <w:fldChar w:fldCharType="separate"/>
          </w:r>
          <w:r>
            <w:t>1</w:t>
          </w:r>
          <w:r>
            <w:fldChar w:fldCharType="end"/>
          </w:r>
          <w:r>
            <w:rPr>
              <w:rFonts w:ascii="Times New Roman" w:hAnsi="Times New Roman" w:eastAsia="Times New Roman" w:cs="Times New Roman"/>
              <w:bCs/>
              <w:spacing w:val="-19"/>
              <w:szCs w:val="28"/>
            </w:rPr>
            <w:fldChar w:fldCharType="end"/>
          </w:r>
        </w:p>
        <w:p w14:paraId="3D09E3D7">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_Toc619 </w:instrText>
          </w:r>
          <w:r>
            <w:rPr>
              <w:rFonts w:ascii="Times New Roman" w:hAnsi="Times New Roman" w:eastAsia="Times New Roman" w:cs="Times New Roman"/>
              <w:bCs/>
              <w:spacing w:val="-19"/>
              <w:szCs w:val="28"/>
            </w:rPr>
            <w:fldChar w:fldCharType="separate"/>
          </w:r>
          <w:r>
            <w:rPr>
              <w:rFonts w:ascii="宋体" w:hAnsi="宋体" w:eastAsia="宋体" w:cs="宋体"/>
              <w:spacing w:val="-2"/>
              <w:szCs w:val="21"/>
            </w:rPr>
            <w:t>文档信息</w:t>
          </w:r>
          <w:r>
            <w:tab/>
          </w:r>
          <w:r>
            <w:fldChar w:fldCharType="begin"/>
          </w:r>
          <w:r>
            <w:instrText xml:space="preserve"> PAGEREF _Toc619 \h </w:instrText>
          </w:r>
          <w:r>
            <w:fldChar w:fldCharType="separate"/>
          </w:r>
          <w:r>
            <w:t>2</w:t>
          </w:r>
          <w:r>
            <w:fldChar w:fldCharType="end"/>
          </w:r>
          <w:r>
            <w:rPr>
              <w:rFonts w:ascii="Times New Roman" w:hAnsi="Times New Roman" w:eastAsia="Times New Roman" w:cs="Times New Roman"/>
              <w:bCs/>
              <w:spacing w:val="-19"/>
              <w:szCs w:val="28"/>
            </w:rPr>
            <w:fldChar w:fldCharType="end"/>
          </w:r>
        </w:p>
        <w:p w14:paraId="590C8E90">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_Toc962 </w:instrText>
          </w:r>
          <w:r>
            <w:rPr>
              <w:rFonts w:ascii="Times New Roman" w:hAnsi="Times New Roman" w:eastAsia="Times New Roman" w:cs="Times New Roman"/>
              <w:bCs/>
              <w:spacing w:val="-19"/>
              <w:szCs w:val="28"/>
            </w:rPr>
            <w:fldChar w:fldCharType="separate"/>
          </w:r>
          <w:r>
            <w:rPr>
              <w:rFonts w:hint="default"/>
            </w:rPr>
            <w:t xml:space="preserve">1. </w:t>
          </w:r>
          <w:r>
            <w:t>目的</w:t>
          </w:r>
          <w:r>
            <w:tab/>
          </w:r>
          <w:r>
            <w:fldChar w:fldCharType="begin"/>
          </w:r>
          <w:r>
            <w:instrText xml:space="preserve"> PAGEREF _Toc962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7C92AE5E">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_Toc22661 </w:instrText>
          </w:r>
          <w:r>
            <w:rPr>
              <w:rFonts w:ascii="Times New Roman" w:hAnsi="Times New Roman" w:eastAsia="Times New Roman" w:cs="Times New Roman"/>
              <w:bCs/>
              <w:spacing w:val="-19"/>
              <w:szCs w:val="28"/>
            </w:rPr>
            <w:fldChar w:fldCharType="separate"/>
          </w:r>
          <w:r>
            <w:rPr>
              <w:rFonts w:hint="default"/>
            </w:rPr>
            <w:t xml:space="preserve">2. </w:t>
          </w:r>
          <w:r>
            <w:t>范围</w:t>
          </w:r>
          <w:r>
            <w:tab/>
          </w:r>
          <w:r>
            <w:fldChar w:fldCharType="begin"/>
          </w:r>
          <w:r>
            <w:instrText xml:space="preserve"> PAGEREF _Toc22661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15122A4E">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_Toc25302 </w:instrText>
          </w:r>
          <w:r>
            <w:rPr>
              <w:rFonts w:ascii="Times New Roman" w:hAnsi="Times New Roman" w:eastAsia="Times New Roman" w:cs="Times New Roman"/>
              <w:bCs/>
              <w:spacing w:val="-19"/>
              <w:szCs w:val="28"/>
            </w:rPr>
            <w:fldChar w:fldCharType="separate"/>
          </w:r>
          <w:r>
            <w:rPr>
              <w:rFonts w:hint="default"/>
            </w:rPr>
            <w:t xml:space="preserve">3. </w:t>
          </w:r>
          <w:r>
            <w:t>定义</w:t>
          </w:r>
          <w:r>
            <w:tab/>
          </w:r>
          <w:r>
            <w:fldChar w:fldCharType="begin"/>
          </w:r>
          <w:r>
            <w:instrText xml:space="preserve"> PAGEREF _Toc25302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6D1088B5">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_Toc12618 </w:instrText>
          </w:r>
          <w:r>
            <w:rPr>
              <w:rFonts w:ascii="Times New Roman" w:hAnsi="Times New Roman" w:eastAsia="Times New Roman" w:cs="Times New Roman"/>
              <w:bCs/>
              <w:spacing w:val="-19"/>
              <w:szCs w:val="28"/>
            </w:rPr>
            <w:fldChar w:fldCharType="separate"/>
          </w:r>
          <w:r>
            <w:rPr>
              <w:rFonts w:hint="default"/>
            </w:rPr>
            <w:t xml:space="preserve">4. </w:t>
          </w:r>
          <w:r>
            <w:t>职责</w:t>
          </w:r>
          <w:r>
            <w:tab/>
          </w:r>
          <w:r>
            <w:fldChar w:fldCharType="begin"/>
          </w:r>
          <w:r>
            <w:instrText xml:space="preserve"> PAGEREF _Toc12618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6301CE78">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_Toc10277 </w:instrText>
          </w:r>
          <w:r>
            <w:rPr>
              <w:rFonts w:ascii="Times New Roman" w:hAnsi="Times New Roman" w:eastAsia="Times New Roman" w:cs="Times New Roman"/>
              <w:bCs/>
              <w:spacing w:val="-19"/>
              <w:szCs w:val="28"/>
            </w:rPr>
            <w:fldChar w:fldCharType="separate"/>
          </w:r>
          <w:r>
            <w:rPr>
              <w:rFonts w:hint="default"/>
            </w:rPr>
            <w:t xml:space="preserve">4.1. </w:t>
          </w:r>
          <w:r>
            <w:t>运维部</w:t>
          </w:r>
          <w:r>
            <w:tab/>
          </w:r>
          <w:r>
            <w:fldChar w:fldCharType="begin"/>
          </w:r>
          <w:r>
            <w:instrText xml:space="preserve"> PAGEREF _Toc10277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564BE9BA">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_Toc23963 </w:instrText>
          </w:r>
          <w:r>
            <w:rPr>
              <w:rFonts w:ascii="Times New Roman" w:hAnsi="Times New Roman" w:eastAsia="Times New Roman" w:cs="Times New Roman"/>
              <w:bCs/>
              <w:spacing w:val="-19"/>
              <w:szCs w:val="28"/>
            </w:rPr>
            <w:fldChar w:fldCharType="separate"/>
          </w:r>
          <w:r>
            <w:rPr>
              <w:rFonts w:hint="default"/>
            </w:rPr>
            <w:t xml:space="preserve">5. </w:t>
          </w:r>
          <w:r>
            <w:t>流程</w:t>
          </w:r>
          <w:r>
            <w:tab/>
          </w:r>
          <w:r>
            <w:fldChar w:fldCharType="begin"/>
          </w:r>
          <w:r>
            <w:instrText xml:space="preserve"> PAGEREF _Toc23963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578BE7CE">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_Toc27925 </w:instrText>
          </w:r>
          <w:r>
            <w:rPr>
              <w:rFonts w:ascii="Times New Roman" w:hAnsi="Times New Roman" w:eastAsia="Times New Roman" w:cs="Times New Roman"/>
              <w:bCs/>
              <w:spacing w:val="-19"/>
              <w:szCs w:val="28"/>
            </w:rPr>
            <w:fldChar w:fldCharType="separate"/>
          </w:r>
          <w:r>
            <w:rPr>
              <w:rFonts w:hint="default"/>
              <w:lang w:val="en-US" w:eastAsia="zh-CN"/>
            </w:rPr>
            <w:t xml:space="preserve">5.1. </w:t>
          </w:r>
          <w:r>
            <w:rPr>
              <w:rFonts w:hint="eastAsia"/>
              <w:lang w:val="en-US" w:eastAsia="zh-CN"/>
            </w:rPr>
            <w:t>服务可用性</w:t>
          </w:r>
          <w:r>
            <w:tab/>
          </w:r>
          <w:r>
            <w:fldChar w:fldCharType="begin"/>
          </w:r>
          <w:r>
            <w:instrText xml:space="preserve"> PAGEREF _Toc27925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4EDA39E1">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_Toc30019 </w:instrText>
          </w:r>
          <w:r>
            <w:rPr>
              <w:rFonts w:ascii="Times New Roman" w:hAnsi="Times New Roman" w:eastAsia="Times New Roman" w:cs="Times New Roman"/>
              <w:bCs/>
              <w:spacing w:val="-19"/>
              <w:szCs w:val="28"/>
            </w:rPr>
            <w:fldChar w:fldCharType="separate"/>
          </w:r>
          <w:r>
            <w:rPr>
              <w:rFonts w:hint="default"/>
            </w:rPr>
            <w:t xml:space="preserve">5.1.1. </w:t>
          </w:r>
          <w:r>
            <w:t>识别可用性需求</w:t>
          </w:r>
          <w:r>
            <w:tab/>
          </w:r>
          <w:r>
            <w:fldChar w:fldCharType="begin"/>
          </w:r>
          <w:r>
            <w:instrText xml:space="preserve"> PAGEREF _Toc30019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1F5587C6">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_Toc9813 </w:instrText>
          </w:r>
          <w:r>
            <w:rPr>
              <w:rFonts w:ascii="Times New Roman" w:hAnsi="Times New Roman" w:eastAsia="Times New Roman" w:cs="Times New Roman"/>
              <w:bCs/>
              <w:spacing w:val="-19"/>
              <w:szCs w:val="28"/>
            </w:rPr>
            <w:fldChar w:fldCharType="separate"/>
          </w:r>
          <w:r>
            <w:rPr>
              <w:rFonts w:hint="default"/>
            </w:rPr>
            <w:t xml:space="preserve">5.1.1. </w:t>
          </w:r>
          <w:r>
            <w:t>可用性设计</w:t>
          </w:r>
          <w:r>
            <w:tab/>
          </w:r>
          <w:r>
            <w:fldChar w:fldCharType="begin"/>
          </w:r>
          <w:r>
            <w:instrText xml:space="preserve"> PAGEREF _Toc9813 \h </w:instrText>
          </w:r>
          <w:r>
            <w:fldChar w:fldCharType="separate"/>
          </w:r>
          <w:r>
            <w:t>7</w:t>
          </w:r>
          <w:r>
            <w:fldChar w:fldCharType="end"/>
          </w:r>
          <w:r>
            <w:rPr>
              <w:rFonts w:ascii="Times New Roman" w:hAnsi="Times New Roman" w:eastAsia="Times New Roman" w:cs="Times New Roman"/>
              <w:bCs/>
              <w:spacing w:val="-19"/>
              <w:szCs w:val="28"/>
            </w:rPr>
            <w:fldChar w:fldCharType="end"/>
          </w:r>
        </w:p>
        <w:p w14:paraId="0F7F1DD5">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_Toc11776 </w:instrText>
          </w:r>
          <w:r>
            <w:rPr>
              <w:rFonts w:ascii="Times New Roman" w:hAnsi="Times New Roman" w:eastAsia="Times New Roman" w:cs="Times New Roman"/>
              <w:bCs/>
              <w:spacing w:val="-19"/>
              <w:szCs w:val="28"/>
            </w:rPr>
            <w:fldChar w:fldCharType="separate"/>
          </w:r>
          <w:r>
            <w:rPr>
              <w:rFonts w:hint="default"/>
            </w:rPr>
            <w:t xml:space="preserve">5.1.2. </w:t>
          </w:r>
          <w:r>
            <w:t>恢复方案设计</w:t>
          </w:r>
          <w:r>
            <w:tab/>
          </w:r>
          <w:r>
            <w:fldChar w:fldCharType="begin"/>
          </w:r>
          <w:r>
            <w:instrText xml:space="preserve"> PAGEREF _Toc11776 \h </w:instrText>
          </w:r>
          <w:r>
            <w:fldChar w:fldCharType="separate"/>
          </w:r>
          <w:r>
            <w:t>7</w:t>
          </w:r>
          <w:r>
            <w:fldChar w:fldCharType="end"/>
          </w:r>
          <w:r>
            <w:rPr>
              <w:rFonts w:ascii="Times New Roman" w:hAnsi="Times New Roman" w:eastAsia="Times New Roman" w:cs="Times New Roman"/>
              <w:bCs/>
              <w:spacing w:val="-19"/>
              <w:szCs w:val="28"/>
            </w:rPr>
            <w:fldChar w:fldCharType="end"/>
          </w:r>
        </w:p>
        <w:p w14:paraId="5DE476C0">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_Toc8009 </w:instrText>
          </w:r>
          <w:r>
            <w:rPr>
              <w:rFonts w:ascii="Times New Roman" w:hAnsi="Times New Roman" w:eastAsia="Times New Roman" w:cs="Times New Roman"/>
              <w:bCs/>
              <w:spacing w:val="-19"/>
              <w:szCs w:val="28"/>
            </w:rPr>
            <w:fldChar w:fldCharType="separate"/>
          </w:r>
          <w:r>
            <w:rPr>
              <w:rFonts w:hint="default"/>
            </w:rPr>
            <w:t xml:space="preserve">5.1.3. </w:t>
          </w:r>
          <w:r>
            <w:t>维护管理</w:t>
          </w:r>
          <w:r>
            <w:tab/>
          </w:r>
          <w:r>
            <w:fldChar w:fldCharType="begin"/>
          </w:r>
          <w:r>
            <w:instrText xml:space="preserve"> PAGEREF _Toc8009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51E710CB">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_Toc26557 </w:instrText>
          </w:r>
          <w:r>
            <w:rPr>
              <w:rFonts w:ascii="Times New Roman" w:hAnsi="Times New Roman" w:eastAsia="Times New Roman" w:cs="Times New Roman"/>
              <w:bCs/>
              <w:spacing w:val="-19"/>
              <w:szCs w:val="28"/>
            </w:rPr>
            <w:fldChar w:fldCharType="separate"/>
          </w:r>
          <w:r>
            <w:rPr>
              <w:rFonts w:hint="default"/>
            </w:rPr>
            <w:t xml:space="preserve">5.1.4. </w:t>
          </w:r>
          <w:r>
            <w:t>制定《可用性计划》</w:t>
          </w:r>
          <w:r>
            <w:tab/>
          </w:r>
          <w:r>
            <w:fldChar w:fldCharType="begin"/>
          </w:r>
          <w:r>
            <w:instrText xml:space="preserve"> PAGEREF _Toc26557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0C8B2DE8">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_Toc23018 </w:instrText>
          </w:r>
          <w:r>
            <w:rPr>
              <w:rFonts w:ascii="Times New Roman" w:hAnsi="Times New Roman" w:eastAsia="Times New Roman" w:cs="Times New Roman"/>
              <w:bCs/>
              <w:spacing w:val="-19"/>
              <w:szCs w:val="28"/>
            </w:rPr>
            <w:fldChar w:fldCharType="separate"/>
          </w:r>
          <w:r>
            <w:rPr>
              <w:rFonts w:hint="default"/>
            </w:rPr>
            <w:t xml:space="preserve">5.1.5. </w:t>
          </w:r>
          <w:r>
            <w:t>监控、评价和报告</w:t>
          </w:r>
          <w:r>
            <w:tab/>
          </w:r>
          <w:r>
            <w:fldChar w:fldCharType="begin"/>
          </w:r>
          <w:r>
            <w:instrText xml:space="preserve"> PAGEREF _Toc23018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782B3EEA">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_Toc32634 </w:instrText>
          </w:r>
          <w:r>
            <w:rPr>
              <w:rFonts w:ascii="Times New Roman" w:hAnsi="Times New Roman" w:eastAsia="Times New Roman" w:cs="Times New Roman"/>
              <w:bCs/>
              <w:spacing w:val="-19"/>
              <w:szCs w:val="28"/>
            </w:rPr>
            <w:fldChar w:fldCharType="separate"/>
          </w:r>
          <w:r>
            <w:rPr>
              <w:rFonts w:hint="default"/>
              <w:lang w:val="en-US" w:eastAsia="zh-CN"/>
            </w:rPr>
            <w:t xml:space="preserve">5.2. </w:t>
          </w:r>
          <w:r>
            <w:rPr>
              <w:rFonts w:hint="eastAsia"/>
              <w:lang w:val="en-US" w:eastAsia="zh-CN"/>
            </w:rPr>
            <w:t>业务连续性</w:t>
          </w:r>
          <w:r>
            <w:tab/>
          </w:r>
          <w:r>
            <w:fldChar w:fldCharType="begin"/>
          </w:r>
          <w:r>
            <w:instrText xml:space="preserve"> PAGEREF _Toc32634 \h </w:instrText>
          </w:r>
          <w:r>
            <w:fldChar w:fldCharType="separate"/>
          </w:r>
          <w:r>
            <w:t>9</w:t>
          </w:r>
          <w:r>
            <w:fldChar w:fldCharType="end"/>
          </w:r>
          <w:r>
            <w:rPr>
              <w:rFonts w:ascii="Times New Roman" w:hAnsi="Times New Roman" w:eastAsia="Times New Roman" w:cs="Times New Roman"/>
              <w:bCs/>
              <w:spacing w:val="-19"/>
              <w:szCs w:val="28"/>
            </w:rPr>
            <w:fldChar w:fldCharType="end"/>
          </w:r>
        </w:p>
        <w:p w14:paraId="7159635C">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_Toc15985 </w:instrText>
          </w:r>
          <w:r>
            <w:rPr>
              <w:rFonts w:ascii="Times New Roman" w:hAnsi="Times New Roman" w:eastAsia="Times New Roman" w:cs="Times New Roman"/>
              <w:bCs/>
              <w:spacing w:val="-19"/>
              <w:szCs w:val="28"/>
            </w:rPr>
            <w:fldChar w:fldCharType="separate"/>
          </w:r>
          <w:r>
            <w:rPr>
              <w:rFonts w:hint="default"/>
            </w:rPr>
            <w:t xml:space="preserve">5.2.1. </w:t>
          </w:r>
          <w:r>
            <w:t>初始化阶段</w:t>
          </w:r>
          <w:r>
            <w:tab/>
          </w:r>
          <w:r>
            <w:fldChar w:fldCharType="begin"/>
          </w:r>
          <w:r>
            <w:instrText xml:space="preserve"> PAGEREF _Toc15985 \h </w:instrText>
          </w:r>
          <w:r>
            <w:fldChar w:fldCharType="separate"/>
          </w:r>
          <w:r>
            <w:t>9</w:t>
          </w:r>
          <w:r>
            <w:fldChar w:fldCharType="end"/>
          </w:r>
          <w:r>
            <w:rPr>
              <w:rFonts w:ascii="Times New Roman" w:hAnsi="Times New Roman" w:eastAsia="Times New Roman" w:cs="Times New Roman"/>
              <w:bCs/>
              <w:spacing w:val="-19"/>
              <w:szCs w:val="28"/>
            </w:rPr>
            <w:fldChar w:fldCharType="end"/>
          </w:r>
        </w:p>
        <w:p w14:paraId="3A35E2CF">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_Toc18119 </w:instrText>
          </w:r>
          <w:r>
            <w:rPr>
              <w:rFonts w:ascii="Times New Roman" w:hAnsi="Times New Roman" w:eastAsia="Times New Roman" w:cs="Times New Roman"/>
              <w:bCs/>
              <w:spacing w:val="-19"/>
              <w:szCs w:val="28"/>
            </w:rPr>
            <w:fldChar w:fldCharType="separate"/>
          </w:r>
          <w:r>
            <w:rPr>
              <w:rFonts w:hint="default"/>
            </w:rPr>
            <w:t xml:space="preserve">5.2.2. </w:t>
          </w:r>
          <w:r>
            <w:t>分析规划阶段</w:t>
          </w:r>
          <w:r>
            <w:tab/>
          </w:r>
          <w:r>
            <w:fldChar w:fldCharType="begin"/>
          </w:r>
          <w:r>
            <w:instrText xml:space="preserve"> PAGEREF _Toc18119 \h </w:instrText>
          </w:r>
          <w:r>
            <w:fldChar w:fldCharType="separate"/>
          </w:r>
          <w:r>
            <w:t>9</w:t>
          </w:r>
          <w:r>
            <w:fldChar w:fldCharType="end"/>
          </w:r>
          <w:r>
            <w:rPr>
              <w:rFonts w:ascii="Times New Roman" w:hAnsi="Times New Roman" w:eastAsia="Times New Roman" w:cs="Times New Roman"/>
              <w:bCs/>
              <w:spacing w:val="-19"/>
              <w:szCs w:val="28"/>
            </w:rPr>
            <w:fldChar w:fldCharType="end"/>
          </w:r>
        </w:p>
        <w:p w14:paraId="5510717E">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_Toc8581 </w:instrText>
          </w:r>
          <w:r>
            <w:rPr>
              <w:rFonts w:ascii="Times New Roman" w:hAnsi="Times New Roman" w:eastAsia="Times New Roman" w:cs="Times New Roman"/>
              <w:bCs/>
              <w:spacing w:val="-19"/>
              <w:szCs w:val="28"/>
            </w:rPr>
            <w:fldChar w:fldCharType="separate"/>
          </w:r>
          <w:r>
            <w:rPr>
              <w:rFonts w:hint="default"/>
            </w:rPr>
            <w:t xml:space="preserve">5.2.3. </w:t>
          </w:r>
          <w:r>
            <w:t>实施阶段</w:t>
          </w:r>
          <w:r>
            <w:tab/>
          </w:r>
          <w:r>
            <w:fldChar w:fldCharType="begin"/>
          </w:r>
          <w:r>
            <w:instrText xml:space="preserve"> PAGEREF _Toc8581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14C06669">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_Toc11192 </w:instrText>
          </w:r>
          <w:r>
            <w:rPr>
              <w:rFonts w:ascii="Times New Roman" w:hAnsi="Times New Roman" w:eastAsia="Times New Roman" w:cs="Times New Roman"/>
              <w:bCs/>
              <w:spacing w:val="-19"/>
              <w:szCs w:val="28"/>
            </w:rPr>
            <w:fldChar w:fldCharType="separate"/>
          </w:r>
          <w:r>
            <w:rPr>
              <w:rFonts w:hint="default"/>
            </w:rPr>
            <w:t xml:space="preserve">5.2.4. </w:t>
          </w:r>
          <w:r>
            <w:t>运作阶段</w:t>
          </w:r>
          <w:r>
            <w:tab/>
          </w:r>
          <w:r>
            <w:fldChar w:fldCharType="begin"/>
          </w:r>
          <w:r>
            <w:instrText xml:space="preserve"> PAGEREF _Toc11192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63F9D2CA">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_Toc7373 </w:instrText>
          </w:r>
          <w:r>
            <w:rPr>
              <w:rFonts w:ascii="Times New Roman" w:hAnsi="Times New Roman" w:eastAsia="Times New Roman" w:cs="Times New Roman"/>
              <w:bCs/>
              <w:spacing w:val="-19"/>
              <w:szCs w:val="28"/>
            </w:rPr>
            <w:fldChar w:fldCharType="separate"/>
          </w:r>
          <w:r>
            <w:rPr>
              <w:rFonts w:hint="default"/>
            </w:rPr>
            <w:t xml:space="preserve">6. </w:t>
          </w:r>
          <w:r>
            <w:t>与其他流程的关系</w:t>
          </w:r>
          <w:r>
            <w:tab/>
          </w:r>
          <w:r>
            <w:fldChar w:fldCharType="begin"/>
          </w:r>
          <w:r>
            <w:instrText xml:space="preserve"> PAGEREF _Toc7373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2691DE97">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_Toc15792 </w:instrText>
          </w:r>
          <w:r>
            <w:rPr>
              <w:rFonts w:ascii="Times New Roman" w:hAnsi="Times New Roman" w:eastAsia="Times New Roman" w:cs="Times New Roman"/>
              <w:bCs/>
              <w:spacing w:val="-19"/>
              <w:szCs w:val="28"/>
            </w:rPr>
            <w:fldChar w:fldCharType="separate"/>
          </w:r>
          <w:r>
            <w:rPr>
              <w:rFonts w:hint="default"/>
            </w:rPr>
            <w:t xml:space="preserve">6.1. </w:t>
          </w:r>
          <w:r>
            <w:t>与事件管理流程的关系</w:t>
          </w:r>
          <w:r>
            <w:tab/>
          </w:r>
          <w:r>
            <w:fldChar w:fldCharType="begin"/>
          </w:r>
          <w:r>
            <w:instrText xml:space="preserve"> PAGEREF _Toc15792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4A016BBA">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_Toc21777 </w:instrText>
          </w:r>
          <w:r>
            <w:rPr>
              <w:rFonts w:ascii="Times New Roman" w:hAnsi="Times New Roman" w:eastAsia="Times New Roman" w:cs="Times New Roman"/>
              <w:bCs/>
              <w:spacing w:val="-19"/>
              <w:szCs w:val="28"/>
            </w:rPr>
            <w:fldChar w:fldCharType="separate"/>
          </w:r>
          <w:r>
            <w:rPr>
              <w:rFonts w:hint="default"/>
            </w:rPr>
            <w:t xml:space="preserve">6.2. </w:t>
          </w:r>
          <w:r>
            <w:t>与问题管理流程的关系</w:t>
          </w:r>
          <w:r>
            <w:tab/>
          </w:r>
          <w:r>
            <w:fldChar w:fldCharType="begin"/>
          </w:r>
          <w:r>
            <w:instrText xml:space="preserve"> PAGEREF _Toc21777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2FEB1E00">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_Toc23943 </w:instrText>
          </w:r>
          <w:r>
            <w:rPr>
              <w:rFonts w:ascii="Times New Roman" w:hAnsi="Times New Roman" w:eastAsia="Times New Roman" w:cs="Times New Roman"/>
              <w:bCs/>
              <w:spacing w:val="-19"/>
              <w:szCs w:val="28"/>
            </w:rPr>
            <w:fldChar w:fldCharType="separate"/>
          </w:r>
          <w:r>
            <w:rPr>
              <w:rFonts w:hint="default"/>
            </w:rPr>
            <w:t xml:space="preserve">6.3. </w:t>
          </w:r>
          <w:r>
            <w:t>与变更、发布管理流程的关系</w:t>
          </w:r>
          <w:r>
            <w:tab/>
          </w:r>
          <w:r>
            <w:fldChar w:fldCharType="begin"/>
          </w:r>
          <w:r>
            <w:instrText xml:space="preserve"> PAGEREF _Toc23943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10C3F19F">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_Toc25158 </w:instrText>
          </w:r>
          <w:r>
            <w:rPr>
              <w:rFonts w:ascii="Times New Roman" w:hAnsi="Times New Roman" w:eastAsia="Times New Roman" w:cs="Times New Roman"/>
              <w:bCs/>
              <w:spacing w:val="-19"/>
              <w:szCs w:val="28"/>
            </w:rPr>
            <w:fldChar w:fldCharType="separate"/>
          </w:r>
          <w:r>
            <w:rPr>
              <w:rFonts w:hint="default"/>
            </w:rPr>
            <w:t xml:space="preserve">6.4. </w:t>
          </w:r>
          <w:r>
            <w:t>与配置管理流程的关系</w:t>
          </w:r>
          <w:r>
            <w:tab/>
          </w:r>
          <w:r>
            <w:fldChar w:fldCharType="begin"/>
          </w:r>
          <w:r>
            <w:instrText xml:space="preserve"> PAGEREF _Toc25158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3FF3087D">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_Toc7121 </w:instrText>
          </w:r>
          <w:r>
            <w:rPr>
              <w:rFonts w:ascii="Times New Roman" w:hAnsi="Times New Roman" w:eastAsia="Times New Roman" w:cs="Times New Roman"/>
              <w:bCs/>
              <w:spacing w:val="-19"/>
              <w:szCs w:val="28"/>
            </w:rPr>
            <w:fldChar w:fldCharType="separate"/>
          </w:r>
          <w:r>
            <w:rPr>
              <w:rFonts w:hint="default"/>
              <w:lang w:val="en-US" w:eastAsia="zh-CN"/>
            </w:rPr>
            <w:t>7. 关键指标</w:t>
          </w:r>
          <w:r>
            <w:tab/>
          </w:r>
          <w:r>
            <w:fldChar w:fldCharType="begin"/>
          </w:r>
          <w:r>
            <w:instrText xml:space="preserve"> PAGEREF _Toc7121 \h </w:instrText>
          </w:r>
          <w:r>
            <w:fldChar w:fldCharType="separate"/>
          </w:r>
          <w:r>
            <w:t>13</w:t>
          </w:r>
          <w:r>
            <w:fldChar w:fldCharType="end"/>
          </w:r>
          <w:r>
            <w:rPr>
              <w:rFonts w:ascii="Times New Roman" w:hAnsi="Times New Roman" w:eastAsia="Times New Roman" w:cs="Times New Roman"/>
              <w:bCs/>
              <w:spacing w:val="-19"/>
              <w:szCs w:val="28"/>
            </w:rPr>
            <w:fldChar w:fldCharType="end"/>
          </w:r>
        </w:p>
        <w:p w14:paraId="11FF4B12">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_Toc29000 </w:instrText>
          </w:r>
          <w:r>
            <w:rPr>
              <w:rFonts w:ascii="Times New Roman" w:hAnsi="Times New Roman" w:eastAsia="Times New Roman" w:cs="Times New Roman"/>
              <w:bCs/>
              <w:spacing w:val="-19"/>
              <w:szCs w:val="28"/>
            </w:rPr>
            <w:fldChar w:fldCharType="separate"/>
          </w:r>
          <w:r>
            <w:rPr>
              <w:rFonts w:hint="default"/>
            </w:rPr>
            <w:t xml:space="preserve">8. </w:t>
          </w:r>
          <w:r>
            <w:t>相关文件</w:t>
          </w:r>
          <w:r>
            <w:tab/>
          </w:r>
          <w:r>
            <w:fldChar w:fldCharType="begin"/>
          </w:r>
          <w:r>
            <w:instrText xml:space="preserve"> PAGEREF _Toc29000 \h </w:instrText>
          </w:r>
          <w:r>
            <w:fldChar w:fldCharType="separate"/>
          </w:r>
          <w:r>
            <w:t>13</w:t>
          </w:r>
          <w:r>
            <w:fldChar w:fldCharType="end"/>
          </w:r>
          <w:r>
            <w:rPr>
              <w:rFonts w:ascii="Times New Roman" w:hAnsi="Times New Roman" w:eastAsia="Times New Roman" w:cs="Times New Roman"/>
              <w:bCs/>
              <w:spacing w:val="-19"/>
              <w:szCs w:val="28"/>
            </w:rPr>
            <w:fldChar w:fldCharType="end"/>
          </w:r>
        </w:p>
        <w:p w14:paraId="566CD0FB">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_Toc7753 </w:instrText>
          </w:r>
          <w:r>
            <w:rPr>
              <w:rFonts w:ascii="Times New Roman" w:hAnsi="Times New Roman" w:eastAsia="Times New Roman" w:cs="Times New Roman"/>
              <w:bCs/>
              <w:spacing w:val="-19"/>
              <w:szCs w:val="28"/>
            </w:rPr>
            <w:fldChar w:fldCharType="separate"/>
          </w:r>
          <w:r>
            <w:rPr>
              <w:rFonts w:hint="default"/>
            </w:rPr>
            <w:t xml:space="preserve">9. </w:t>
          </w:r>
          <w:r>
            <w:t>记录</w:t>
          </w:r>
          <w:r>
            <w:tab/>
          </w:r>
          <w:r>
            <w:fldChar w:fldCharType="begin"/>
          </w:r>
          <w:r>
            <w:instrText xml:space="preserve"> PAGEREF _Toc7753 \h </w:instrText>
          </w:r>
          <w:r>
            <w:fldChar w:fldCharType="separate"/>
          </w:r>
          <w:r>
            <w:t>13</w:t>
          </w:r>
          <w:r>
            <w:fldChar w:fldCharType="end"/>
          </w:r>
          <w:r>
            <w:rPr>
              <w:rFonts w:ascii="Times New Roman" w:hAnsi="Times New Roman" w:eastAsia="Times New Roman" w:cs="Times New Roman"/>
              <w:bCs/>
              <w:spacing w:val="-19"/>
              <w:szCs w:val="28"/>
            </w:rPr>
            <w:fldChar w:fldCharType="end"/>
          </w:r>
        </w:p>
        <w:p w14:paraId="4980380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end"/>
          </w:r>
        </w:p>
      </w:sdtContent>
    </w:sdt>
    <w:p w14:paraId="7076E8AA">
      <w:r>
        <w:br w:type="page"/>
      </w:r>
    </w:p>
    <w:p w14:paraId="7C31D4B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962"/>
      <w:r>
        <w:t>目的</w:t>
      </w:r>
      <w:bookmarkEnd w:id="3"/>
    </w:p>
    <w:p w14:paraId="13020CD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rPr>
      </w:pPr>
      <w:r>
        <w:rPr>
          <w:rFonts w:hint="eastAsia" w:ascii="宋体" w:hAnsi="宋体" w:eastAsia="宋体" w:cs="宋体"/>
        </w:rPr>
        <w:t>为确保公司核心IT服务在面临各种中断性事件（如硬件故障、自然灾害、网络攻击、人为错误等）时，能够保持预定的可用性水平，并能够快速、有效地恢复，最大限度地减少对业务运营的影响和损失，特制定本制度。</w:t>
      </w:r>
    </w:p>
    <w:p w14:paraId="4A282A9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5"/>
      <w:bookmarkEnd w:id="4"/>
      <w:bookmarkStart w:id="5" w:name="bookmark4"/>
      <w:bookmarkEnd w:id="5"/>
      <w:bookmarkStart w:id="6" w:name="_Toc22661"/>
      <w:r>
        <w:t>范围</w:t>
      </w:r>
      <w:bookmarkEnd w:id="6"/>
    </w:p>
    <w:p w14:paraId="2C12C0FB">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本程序适用于为满足服务预定可用性目标</w:t>
      </w:r>
      <w:r>
        <w:rPr>
          <w:rFonts w:hint="eastAsia"/>
          <w:lang w:val="en-US" w:eastAsia="zh-CN"/>
        </w:rPr>
        <w:t>和连续性目标</w:t>
      </w:r>
      <w:r>
        <w:t>所进行的管理。</w:t>
      </w:r>
    </w:p>
    <w:p w14:paraId="2B4608B6">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所有新增运维服务以及当前已经签订服务级别需求（SLR）和服务级别协议（SLA）的运维服务；</w:t>
      </w:r>
    </w:p>
    <w:p w14:paraId="4412CDCC">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那些不一定签订正式的《服务级别协议》但对组织业务却极为关键的运维服务；</w:t>
      </w:r>
    </w:p>
    <w:p w14:paraId="3098C76D">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可能影响可用性的IT基础设施和IT支持部门的所有方面，包括培训、政策、流程的有效性</w:t>
      </w:r>
      <w:r>
        <w:rPr>
          <w:rFonts w:hint="eastAsia"/>
          <w:lang w:val="en-US" w:eastAsia="zh-CN"/>
        </w:rPr>
        <w:t>以及</w:t>
      </w:r>
      <w:r>
        <w:t>程序和工具等。</w:t>
      </w:r>
    </w:p>
    <w:p w14:paraId="48161D5A">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val="en-US" w:eastAsia="zh-CN"/>
        </w:rPr>
        <w:t>导致连续性发生的条件:</w:t>
      </w:r>
      <w:r>
        <w:t>包括火灾、大规模断电、硬件瘫痪、自然灾害、失窃、暴力破坏、人力资源危机等意外事件，可能中断运维服务并且影响组织的正常业务运营，最终导致业务损失。</w:t>
      </w:r>
    </w:p>
    <w:p w14:paraId="109699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6"/>
      <w:bookmarkEnd w:id="7"/>
      <w:bookmarkStart w:id="8" w:name="bookmark7"/>
      <w:bookmarkEnd w:id="8"/>
      <w:bookmarkStart w:id="9" w:name="_Toc25302"/>
      <w:r>
        <w:t>定义</w:t>
      </w:r>
      <w:bookmarkEnd w:id="9"/>
    </w:p>
    <w:p w14:paraId="061003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可用性：可用性是指一个组件或一种服务在设定的某个时刻或某段时间内发挥其应用功能的能力，因此，高可用性意味着服务对客户是持续可用的，宕机时间少且可迅速恢复，表示方法：</w:t>
      </w:r>
    </w:p>
    <w:p w14:paraId="00CC16B6">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用绝对数来表示，如可用时段为8：00到18：00；</w:t>
      </w:r>
    </w:p>
    <w:p w14:paraId="41D88561">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用相对数来表示，如平均可用性级别最低为99%</w:t>
      </w:r>
      <w:r>
        <w:rPr>
          <w:rFonts w:hint="eastAsia"/>
          <w:lang w:eastAsia="zh-CN"/>
        </w:rPr>
        <w:t>；</w:t>
      </w:r>
    </w:p>
    <w:p w14:paraId="1F2FBB6E">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两者的结合，如在开发时间内平均可用性级别为99％。</w:t>
      </w:r>
    </w:p>
    <w:p w14:paraId="1246E0E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决定因素：</w:t>
      </w:r>
    </w:p>
    <w:p w14:paraId="19A86B19">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IT基础架构的复杂程度；</w:t>
      </w:r>
    </w:p>
    <w:p w14:paraId="3CA633F8">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快捷有效地对故障作出反应的能力；</w:t>
      </w:r>
    </w:p>
    <w:p w14:paraId="282A2FFC">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组件的可靠性；</w:t>
      </w:r>
    </w:p>
    <w:p w14:paraId="587DCD8A">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运营级管理流程的质量和范围；</w:t>
      </w:r>
    </w:p>
    <w:p w14:paraId="0C6BEEFE">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由支持部门和供应商提供的维护的质量；</w:t>
      </w:r>
    </w:p>
    <w:p w14:paraId="605E1609">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IT基础架构的弹性。</w:t>
      </w:r>
    </w:p>
    <w:p w14:paraId="7DD4D44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0" w:name="bookmark9"/>
      <w:bookmarkEnd w:id="10"/>
      <w:bookmarkStart w:id="11" w:name="bookmark8"/>
      <w:bookmarkEnd w:id="11"/>
      <w:r>
        <w:t>业务连续性</w:t>
      </w:r>
      <w:r>
        <w:rPr>
          <w:rFonts w:hint="eastAsia"/>
          <w:lang w:eastAsia="zh-CN"/>
        </w:rPr>
        <w:t>：</w:t>
      </w:r>
      <w:r>
        <w:t>是一个综合性的管理过程，它旨在识别组织所面临的潜在威胁，以及这些威胁一旦发生对业务运营可能带来的冲击，并为此建立有效的响应框架和恢复能力，以保护关键利益相关方的利益、保障核心业务功能的持续运作，并维护组织的声誉和品牌价值</w:t>
      </w:r>
      <w:r>
        <w:rPr>
          <w:rFonts w:hint="eastAsia"/>
          <w:lang w:eastAsia="zh-CN"/>
        </w:rPr>
        <w:t>。</w:t>
      </w:r>
    </w:p>
    <w:p w14:paraId="4D70FFD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2618"/>
      <w:r>
        <w:t>职责</w:t>
      </w:r>
      <w:bookmarkEnd w:id="12"/>
    </w:p>
    <w:p w14:paraId="4EC9D64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0277"/>
      <w:r>
        <w:t>运维部</w:t>
      </w:r>
      <w:bookmarkEnd w:id="13"/>
    </w:p>
    <w:p w14:paraId="7BF1DEA7">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确保运维服务在经过设计后，实际的服务级别（以可用性、可靠性、可服务性、</w:t>
      </w:r>
      <w:r>
        <w:rPr>
          <w:rFonts w:hint="eastAsia"/>
          <w:lang w:val="en-US" w:eastAsia="zh-CN"/>
        </w:rPr>
        <w:t>连续性</w:t>
      </w:r>
      <w:r>
        <w:t>等指标表示）能够符合约定的服务级别；制定《</w:t>
      </w:r>
      <w:r>
        <w:rPr>
          <w:rFonts w:hint="eastAsia"/>
          <w:lang w:val="en-US" w:eastAsia="zh-CN"/>
        </w:rPr>
        <w:t>服务</w:t>
      </w:r>
      <w:r>
        <w:t>可用性</w:t>
      </w:r>
      <w:r>
        <w:rPr>
          <w:rFonts w:hint="eastAsia"/>
          <w:lang w:val="en-US" w:eastAsia="zh-CN"/>
        </w:rPr>
        <w:t>和业务连续性</w:t>
      </w:r>
      <w:r>
        <w:t>计划》；</w:t>
      </w:r>
    </w:p>
    <w:p w14:paraId="35F3D0A4">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撰写可用性报告；</w:t>
      </w:r>
    </w:p>
    <w:p w14:paraId="23AD8B11">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优化IT基础架构的可用性，从而为提供给企业的服务实施成本合理的改进</w:t>
      </w:r>
      <w:r>
        <w:rPr>
          <w:rFonts w:hint="eastAsia"/>
          <w:lang w:eastAsia="zh-CN"/>
        </w:rPr>
        <w:t>；</w:t>
      </w:r>
    </w:p>
    <w:p w14:paraId="568AECDF">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实施和维护运维服务服务过程中的连续性管理，根据风险评估结果，制定并管理连续性计划</w:t>
      </w:r>
      <w:r>
        <w:rPr>
          <w:rFonts w:hint="eastAsia"/>
          <w:lang w:eastAsia="zh-CN"/>
        </w:rPr>
        <w:t>。</w:t>
      </w:r>
    </w:p>
    <w:p w14:paraId="640C3B8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0"/>
      <w:bookmarkEnd w:id="14"/>
      <w:bookmarkStart w:id="15" w:name="bookmark11"/>
      <w:bookmarkEnd w:id="15"/>
      <w:bookmarkStart w:id="16" w:name="_Toc23963"/>
      <w:r>
        <w:t>流程</w:t>
      </w:r>
      <w:bookmarkEnd w:id="16"/>
    </w:p>
    <w:p w14:paraId="658C88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7925"/>
      <w:r>
        <w:rPr>
          <w:rFonts w:hint="eastAsia"/>
          <w:lang w:val="en-US" w:eastAsia="zh-CN"/>
        </w:rPr>
        <w:t>服务可用性</w:t>
      </w:r>
      <w:bookmarkEnd w:id="17"/>
    </w:p>
    <w:p w14:paraId="0C01D2C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一旦客户确定了一项服务的可用性要求，运维管理部就可以确定一系列输入要求，以满足要求的服务级别。</w:t>
      </w:r>
    </w:p>
    <w:p w14:paraId="42DAB9C4">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4"/>
      <w:bookmarkEnd w:id="18"/>
      <w:bookmarkStart w:id="19" w:name="bookmark12"/>
      <w:bookmarkEnd w:id="19"/>
      <w:bookmarkStart w:id="20" w:name="bookmark15"/>
      <w:bookmarkEnd w:id="20"/>
      <w:bookmarkStart w:id="21" w:name="bookmark13"/>
      <w:bookmarkEnd w:id="21"/>
      <w:bookmarkStart w:id="22" w:name="_Toc30019"/>
      <w:r>
        <w:t>识别可用性需求</w:t>
      </w:r>
      <w:bookmarkEnd w:id="22"/>
    </w:p>
    <w:p w14:paraId="5C9F3EA7">
      <w:pPr>
        <w:pStyle w:val="44"/>
        <w:keepNext w:val="0"/>
        <w:keepLines w:val="0"/>
        <w:pageBreakBefore w:val="0"/>
        <w:widowControl w:val="0"/>
        <w:kinsoku w:val="0"/>
        <w:wordWrap/>
        <w:overflowPunct/>
        <w:topLinePunct w:val="0"/>
        <w:autoSpaceDE w:val="0"/>
        <w:autoSpaceDN w:val="0"/>
        <w:bidi w:val="0"/>
        <w:adjustRightInd w:val="0"/>
        <w:snapToGrid w:val="0"/>
        <w:textAlignment w:val="baseline"/>
      </w:pPr>
      <w:r>
        <w:t>需求识别时间</w:t>
      </w:r>
    </w:p>
    <w:p w14:paraId="7A60C91E">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在签订《服务级别协议》之前进行；</w:t>
      </w:r>
    </w:p>
    <w:p w14:paraId="04C97561">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需考虑新的运维服务和需要对现有服务</w:t>
      </w:r>
      <w:r>
        <w:rPr>
          <w:rFonts w:hint="eastAsia"/>
          <w:lang w:val="en-US" w:eastAsia="zh-CN"/>
        </w:rPr>
        <w:t>做出</w:t>
      </w:r>
      <w:r>
        <w:t>的变更两个方面；</w:t>
      </w:r>
    </w:p>
    <w:p w14:paraId="2FD8A23D">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应当在尽可能早的阶段确定是否能够满足这些需求以及怎样满足这些需求。</w:t>
      </w:r>
    </w:p>
    <w:p w14:paraId="5ED15DD3">
      <w:pPr>
        <w:pStyle w:val="4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19"/>
      <w:bookmarkEnd w:id="23"/>
      <w:bookmarkStart w:id="24" w:name="bookmark16"/>
      <w:bookmarkEnd w:id="24"/>
      <w:bookmarkStart w:id="25" w:name="bookmark17"/>
      <w:bookmarkEnd w:id="25"/>
      <w:bookmarkStart w:id="26" w:name="bookmark18"/>
      <w:bookmarkEnd w:id="26"/>
      <w:bookmarkStart w:id="77" w:name="_GoBack"/>
      <w:bookmarkEnd w:id="77"/>
      <w:r>
        <w:t>需求识别应考虑内容</w:t>
      </w:r>
    </w:p>
    <w:p w14:paraId="02DCC47E">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关键业务功能；</w:t>
      </w:r>
    </w:p>
    <w:p w14:paraId="4EB8159A">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约定的运维服务中断时间；</w:t>
      </w:r>
    </w:p>
    <w:p w14:paraId="065E7855">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bookmarkStart w:id="27" w:name="bookmark43"/>
      <w:bookmarkEnd w:id="27"/>
      <w:r>
        <w:t>可量化的可用性需求；</w:t>
      </w:r>
    </w:p>
    <w:p w14:paraId="4CB42A83">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非计划的运维服务中断对业务功能所产生的可量化的影响；</w:t>
      </w:r>
    </w:p>
    <w:p w14:paraId="656C79FC">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客户的业务运作时段；</w:t>
      </w:r>
    </w:p>
    <w:p w14:paraId="37916777">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有关维护窗口期的约定。</w:t>
      </w:r>
    </w:p>
    <w:p w14:paraId="6ABF6C8D">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8" w:name="_Toc9813"/>
      <w:r>
        <w:t>可用性设计</w:t>
      </w:r>
      <w:bookmarkEnd w:id="28"/>
    </w:p>
    <w:p w14:paraId="35F98FB7">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那些影响可用性标准的薄弱环节应当尽早得到确认。有助于防止额外的开发成本、计划外的后期支出、单点故障、供应商收取的额外成本以及延迟的发布等情况发生。</w:t>
      </w:r>
    </w:p>
    <w:p w14:paraId="0611B8D4">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基于适当的可用性标准的一个良好的可用性设计可以使得有可能与供应商签订有效的维护合同。设计过程中采用了一些技巧，如确认单点故障的组件故障影响度分析。</w:t>
      </w:r>
    </w:p>
    <w:p w14:paraId="7C6F117E">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如果可用性标准不能够实现，最好的选择是确认设计是否可以进一步改进。</w:t>
      </w:r>
    </w:p>
    <w:p w14:paraId="6A3A9472">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如果可用性需求特别难以达到，则应当考虑使用其它的容错技术、其它的服务流程（事件管理、问题管理和变更管理）或额外的服务管理资源。</w:t>
      </w:r>
    </w:p>
    <w:p w14:paraId="39CE58E7">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9" w:name="bookmark20"/>
      <w:bookmarkEnd w:id="29"/>
      <w:bookmarkStart w:id="30" w:name="bookmark21"/>
      <w:bookmarkEnd w:id="30"/>
      <w:bookmarkStart w:id="31" w:name="_Toc11776"/>
      <w:r>
        <w:t>恢复方案设计</w:t>
      </w:r>
      <w:bookmarkEnd w:id="31"/>
    </w:p>
    <w:p w14:paraId="3AFCA5CC">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确保运维服务故障发生后，运维服务能在最短的时间内得以恢复以使正常的业务运营继续进行；</w:t>
      </w:r>
    </w:p>
    <w:p w14:paraId="6ED922CA">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构建一个对故障具有高度弹性的IT基础设施即使不是不太可能，也可能会造成成本过于高昂；因此，在给定的成本约束下，IT基础设施满足可用性需求的能力常常取决于可以对运维服务故障进行及时有效恢复的能力。</w:t>
      </w:r>
    </w:p>
    <w:p w14:paraId="18ECCC3C">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设计恢复方案考虑因素：</w:t>
      </w:r>
    </w:p>
    <w:p w14:paraId="7032DD4A">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确保业务与技术恢复流程是正确的；</w:t>
      </w:r>
    </w:p>
    <w:p w14:paraId="180B5717">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清晰定义负责主要事件的员工的职责。</w:t>
      </w:r>
    </w:p>
    <w:p w14:paraId="6A25DA0C">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安全性问题</w:t>
      </w:r>
    </w:p>
    <w:p w14:paraId="1EB49168">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安全性和可靠性是密切相关的，一个较差的信息安全设计会直接影响到服务的可用性。</w:t>
      </w:r>
    </w:p>
    <w:p w14:paraId="5B15A0B8">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bookmarkStart w:id="32" w:name="bookmark44"/>
      <w:bookmarkEnd w:id="32"/>
      <w:r>
        <w:t>高可用性要靠有效的信息安全来支撑。在规划阶段，应该考虑相关的安全问题，对安全问题可能给服务供应带来的影响也应当加以分析。</w:t>
      </w:r>
    </w:p>
    <w:p w14:paraId="79DDFF07">
      <w:pPr>
        <w:pStyle w:val="43"/>
        <w:keepNext w:val="0"/>
        <w:keepLines w:val="0"/>
        <w:pageBreakBefore w:val="0"/>
        <w:widowControl w:val="0"/>
        <w:kinsoku w:val="0"/>
        <w:wordWrap/>
        <w:overflowPunct/>
        <w:topLinePunct w:val="0"/>
        <w:autoSpaceDE w:val="0"/>
        <w:autoSpaceDN w:val="0"/>
        <w:bidi w:val="0"/>
        <w:adjustRightInd w:val="0"/>
        <w:snapToGrid w:val="0"/>
        <w:textAlignment w:val="baseline"/>
      </w:pPr>
      <w:r>
        <w:t>与安全问题相关的活动主要有：</w:t>
      </w:r>
    </w:p>
    <w:p w14:paraId="5BBBA0CA">
      <w:pPr>
        <w:pStyle w:val="4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确定谁将有权访问安全区域；</w:t>
      </w:r>
    </w:p>
    <w:p w14:paraId="479B7F1E">
      <w:pPr>
        <w:pStyle w:val="4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确定需要作出哪项关键授权。</w:t>
      </w:r>
    </w:p>
    <w:p w14:paraId="6A7878CB">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3" w:name="bookmark23"/>
      <w:bookmarkEnd w:id="33"/>
      <w:bookmarkStart w:id="34" w:name="bookmark22"/>
      <w:bookmarkEnd w:id="34"/>
      <w:bookmarkStart w:id="35" w:name="_Toc8009"/>
      <w:r>
        <w:t>维护管理</w:t>
      </w:r>
      <w:bookmarkEnd w:id="35"/>
    </w:p>
    <w:p w14:paraId="40493AD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IT组件都必须按照计划进行维护活动。有计划的维护活动可以使IT支持部门能够：实施预防性维护以避免故障的发生；</w:t>
      </w:r>
    </w:p>
    <w:p w14:paraId="11086B3D">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及时进行软件和硬件升级以提供新的功能和额外的服务能力；</w:t>
      </w:r>
    </w:p>
    <w:p w14:paraId="6625C6D1">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根据业务需求对IT基础设施实施必要的变更；</w:t>
      </w:r>
    </w:p>
    <w:p w14:paraId="227D7BDA">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激活IT基础设施中新增的功能</w:t>
      </w:r>
      <w:r>
        <w:rPr>
          <w:rFonts w:hint="eastAsia"/>
          <w:lang w:eastAsia="zh-CN"/>
        </w:rPr>
        <w:t>；</w:t>
      </w:r>
    </w:p>
    <w:p w14:paraId="76B78C7A">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计划性维护活动涉及的首要问题是计划停机时间</w:t>
      </w:r>
      <w:r>
        <w:rPr>
          <w:rFonts w:hint="eastAsia"/>
          <w:lang w:eastAsia="zh-CN"/>
        </w:rPr>
        <w:t>；</w:t>
      </w:r>
    </w:p>
    <w:p w14:paraId="66529FA1">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在确定新增或改进后的运维服务的可用性需求时，需要明确计划性维护所需的停机时间以及由此导致的收入方面的损失</w:t>
      </w:r>
      <w:r>
        <w:rPr>
          <w:rFonts w:hint="eastAsia"/>
          <w:lang w:eastAsia="zh-CN"/>
        </w:rPr>
        <w:t>；</w:t>
      </w:r>
    </w:p>
    <w:p w14:paraId="7D6BDCDF">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在运维服务1天24小时或一周7天都必须正常运作的情况下，可用性管理就必须在权衡计划停机时间需求和相应的业务损失之后确定最优的维护方案。</w:t>
      </w:r>
    </w:p>
    <w:p w14:paraId="2E2796FE">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6" w:name="bookmark25"/>
      <w:bookmarkEnd w:id="36"/>
      <w:bookmarkStart w:id="37" w:name="bookmark24"/>
      <w:bookmarkEnd w:id="37"/>
      <w:bookmarkStart w:id="38" w:name="_Toc26557"/>
      <w:r>
        <w:t>制定《可用性计划》</w:t>
      </w:r>
      <w:bookmarkEnd w:id="38"/>
    </w:p>
    <w:p w14:paraId="0B241DC6">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为有效地实施有关可用性管理活动以改进IT组件及服务的可用性，必须制定明确的《可用性计划》。</w:t>
      </w:r>
    </w:p>
    <w:p w14:paraId="54695C80">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不仅需要关注技术方面的问题，还应对可用性管理的人员、流程、工具和技巧等方面进行考虑。在可用性管理的初始阶段，可用性计划与实施通常是紧密结合进行的，但这两者却又是不同的，不能将它们混淆。</w:t>
      </w:r>
    </w:p>
    <w:p w14:paraId="79260F28">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《可用性计划》的计划周期应当覆盖协议约定时长。</w:t>
      </w:r>
    </w:p>
    <w:p w14:paraId="10B020A9">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《可用性计划》应当和《能力计划》和财务预算的周期保持一致。</w:t>
      </w:r>
    </w:p>
    <w:p w14:paraId="2D144B26">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《可用性计划》一般包括以下部分：</w:t>
      </w:r>
    </w:p>
    <w:p w14:paraId="1F155DF4">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对目前状况可用性的评估；</w:t>
      </w:r>
    </w:p>
    <w:p w14:paraId="003FA376">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改善现有服务活动的步骤；</w:t>
      </w:r>
    </w:p>
    <w:p w14:paraId="5775A975">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实施新服务与维护的一系列计划。</w:t>
      </w:r>
    </w:p>
    <w:p w14:paraId="7E16272A">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9" w:name="bookmark27"/>
      <w:bookmarkEnd w:id="39"/>
      <w:bookmarkStart w:id="40" w:name="bookmark26"/>
      <w:bookmarkEnd w:id="40"/>
      <w:r>
        <w:t xml:space="preserve"> </w:t>
      </w:r>
      <w:bookmarkStart w:id="41" w:name="_Toc23018"/>
      <w:r>
        <w:t>监控、评价和报告</w:t>
      </w:r>
      <w:bookmarkEnd w:id="41"/>
    </w:p>
    <w:p w14:paraId="45AAFF31">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评价和报告是重要的可用性管理活动，它们为核实服务协议，解决问题和制定改进建议提供了基础。</w:t>
      </w:r>
    </w:p>
    <w:p w14:paraId="506F11F4">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可用性报告在每次服务报告中作相应说明，其中可以包括下列指标：</w:t>
      </w:r>
    </w:p>
    <w:p w14:paraId="2DF0B8DF">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以平均修复时间（MTTR）、平均无故障时间（MTBF）和平均系统事件间隔时间表示的可用率（或不可用率）；</w:t>
      </w:r>
    </w:p>
    <w:p w14:paraId="1D4742E5">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总体正常运作时间和宕机时间；</w:t>
      </w:r>
    </w:p>
    <w:p w14:paraId="6CF5CF6B">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故障的次数；</w:t>
      </w:r>
    </w:p>
    <w:p w14:paraId="1393E843">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有关故障可能实际或潜在地导致比约定数更高的不可用率的额外信息。</w:t>
      </w:r>
    </w:p>
    <w:p w14:paraId="56176392">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42" w:name="_Toc32634"/>
      <w:r>
        <w:rPr>
          <w:rFonts w:hint="eastAsia"/>
          <w:lang w:val="en-US" w:eastAsia="zh-CN"/>
        </w:rPr>
        <w:t>业务连续性</w:t>
      </w:r>
      <w:bookmarkEnd w:id="42"/>
    </w:p>
    <w:p w14:paraId="79DF38E2">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3" w:name="_Toc15985"/>
      <w:r>
        <w:t>初始化阶段</w:t>
      </w:r>
      <w:bookmarkEnd w:id="43"/>
    </w:p>
    <w:p w14:paraId="76035B0A">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4" w:name="bookmark47"/>
      <w:bookmarkEnd w:id="44"/>
      <w:r>
        <w:t>定义组织策略</w:t>
      </w:r>
    </w:p>
    <w:p w14:paraId="02B9ECB3">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有关运维服务连续性管理的政策应当尽早地制定并充分传达给组织内所有的相关人员，从而使他们意识到实施运维服务连续性管理的需求；同时管理层也需要明确表达他们的承诺。</w:t>
      </w:r>
    </w:p>
    <w:p w14:paraId="0C23E1DF">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t>运用风险评估方法来估计运维服务风险发生的概率，为了管理这些风险，组织需要制定风险预防和风险恢复方案，这些措施应基于质量标准；安全管理指南和通用的组织策略</w:t>
      </w:r>
      <w:r>
        <w:rPr>
          <w:rFonts w:hint="eastAsia"/>
          <w:lang w:eastAsia="zh-CN"/>
        </w:rPr>
        <w:t>。</w:t>
      </w:r>
    </w:p>
    <w:p w14:paraId="048CF988">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确定适当的管理架构（清楚划分职责）和应对灾难的流程。</w:t>
      </w:r>
    </w:p>
    <w:p w14:paraId="3CA4F8C6">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分配资源</w:t>
      </w:r>
    </w:p>
    <w:p w14:paraId="153ED487">
      <w:pPr>
        <w:pStyle w:val="4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pPr>
      <w:r>
        <w:t>需要投入人力和物力建立一个运维服务连续性管理环境。</w:t>
      </w:r>
    </w:p>
    <w:p w14:paraId="10B035CC">
      <w:pPr>
        <w:pStyle w:val="4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pPr>
      <w:r>
        <w:t>组织需要对员工进行培训来保证员工有能力实施风险预防和灾难恢复措施。</w:t>
      </w:r>
    </w:p>
    <w:p w14:paraId="1550A5B6">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5" w:name="_Toc18119"/>
      <w:r>
        <w:t>分析规划阶段</w:t>
      </w:r>
      <w:bookmarkEnd w:id="45"/>
    </w:p>
    <w:p w14:paraId="28322EB6">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6" w:name="bookmark48"/>
      <w:bookmarkEnd w:id="46"/>
      <w:r>
        <w:t>业务影响分析</w:t>
      </w:r>
    </w:p>
    <w:p w14:paraId="5A92717B">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在有些情况下，服务在灾难发生后仍可以继续运作一段时间，因而其重</w:t>
      </w:r>
      <w:bookmarkStart w:id="47" w:name="bookmark49"/>
      <w:bookmarkEnd w:id="47"/>
      <w:r>
        <w:t>点是恢复服务；而在其它情况下，没有运维服务的支持业务将完全不能运作，因而其重点将是预防</w:t>
      </w:r>
      <w:r>
        <w:rPr>
          <w:rFonts w:hint="eastAsia"/>
          <w:lang w:eastAsia="zh-CN"/>
        </w:rPr>
        <w:t>；</w:t>
      </w:r>
    </w:p>
    <w:p w14:paraId="1A0DED8D">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服务分析：对某些不重要的服务而言，可以规定在灾难发生时使用能力和可用性有限的应急服务。但需要注意的是，即便是在灾难恢复期间，服务级别也只有在与客户达成协议之后才能进行修改。对于关键性服务来说，必须在进行预防和制定恢复方案之间选择某种平衡</w:t>
      </w:r>
      <w:r>
        <w:rPr>
          <w:rFonts w:hint="eastAsia"/>
          <w:lang w:eastAsia="zh-CN"/>
        </w:rPr>
        <w:t>；</w:t>
      </w:r>
    </w:p>
    <w:p w14:paraId="53846254">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基础架构分析：在完成服务分析之后，需要评估服务和 IT 资源之间的依赖关系，灾难恢复服务所需要的额外资源。</w:t>
      </w:r>
    </w:p>
    <w:p w14:paraId="47043F6C">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风险评估</w:t>
      </w:r>
    </w:p>
    <w:p w14:paraId="3B66387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通过确认业务中存在的威胁和薄弱环节以及相关的预防措施可以为管理层提供有价值的信息。</w:t>
      </w:r>
    </w:p>
    <w:p w14:paraId="3E2A314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优先考虑使用各种预防措施。如果所有这类预防措施全都用上了，则有必要进一步确定是否还存在需要制定应急计划的残余风险。</w:t>
      </w:r>
    </w:p>
    <w:p w14:paraId="37AB2830">
      <w:pPr>
        <w:pStyle w:val="43"/>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pPr>
      <w:r>
        <w:t>风险分析</w:t>
      </w:r>
    </w:p>
    <w:p w14:paraId="3EFADD34">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必要确认相关的IT组件（资产），包括建筑物、系统和数据等；</w:t>
      </w:r>
    </w:p>
    <w:p w14:paraId="780EA812">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分析这些资产所面临的威胁以及这些威胁之间的相关程度，并估计灾难发生的可能性；</w:t>
      </w:r>
    </w:p>
    <w:p w14:paraId="763C4D3A">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要确认这些资产的薄弱环节，并进行分类；</w:t>
      </w:r>
    </w:p>
    <w:p w14:paraId="6437ED6F">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根据各IT组件的具体情况评估威胁和薄弱环节，从而评估风险的级别。</w:t>
      </w:r>
    </w:p>
    <w:p w14:paraId="14461929">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恢复方案</w:t>
      </w:r>
    </w:p>
    <w:p w14:paraId="6D673B78">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不采取任何措施，此方案应用于无需运维服务能独立运营的部门。</w:t>
      </w:r>
    </w:p>
    <w:p w14:paraId="5643FBDD">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回复至手工（基于纸质的）系统-这种方案对于那些对业务有关键性影响的服务来说是不可接受的，但对于那些不甚重要的、小的服务仍然是可行的。</w:t>
      </w:r>
    </w:p>
    <w:p w14:paraId="25FC7A7E">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bookmarkStart w:id="48" w:name="bookmark50"/>
      <w:bookmarkEnd w:id="48"/>
      <w:r>
        <w:t>互助协议安排-当两个组织具有类似的硬件并同意在灾难发生时互相提供相关设施时可以使用这种方案。</w:t>
      </w:r>
    </w:p>
    <w:p w14:paraId="3CB3729B">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逐渐恢复-这种方案使用于那些在一段时间（如72小时）内没有运维服务也能运作的企业。</w:t>
      </w:r>
    </w:p>
    <w:p w14:paraId="78042EB8">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中期恢复-这种方案可以使服务在接入一个类似的运作环境后经历一段短暂的过渡期（24-72 小时）便可以继续正常运作。</w:t>
      </w:r>
    </w:p>
    <w:p w14:paraId="4A6296D0">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内部式恢复（相互支撑）-如果企业有多个办公场所或可用于生产的专门的测试环境，可以采用这种内部式恢复方案。</w:t>
      </w:r>
    </w:p>
    <w:p w14:paraId="66D83862">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外部式恢复-由第三方恢复组织提供商业服务，这些组织通常是为多个客户服务的</w:t>
      </w:r>
    </w:p>
    <w:p w14:paraId="210B5924">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移动式恢复-这种方案所需的基础设施一般都是用一辆拖车装载着。</w:t>
      </w:r>
    </w:p>
    <w:p w14:paraId="608EA1C0">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立即恢复-这种方案提供了即时的或非常快速的恢复服务，如在不超过 24 小时之内</w:t>
      </w:r>
    </w:p>
    <w:p w14:paraId="3A4A6F22">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针对分析结果应形成书面性的建议内容，汇总到《业务影响分析报告》中。</w:t>
      </w:r>
    </w:p>
    <w:p w14:paraId="1979D4CD">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9" w:name="_Toc8581"/>
      <w:r>
        <w:t>实施阶段</w:t>
      </w:r>
      <w:bookmarkEnd w:id="49"/>
    </w:p>
    <w:p w14:paraId="1FA09895">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bookmarkStart w:id="50" w:name="bookmark51"/>
      <w:bookmarkEnd w:id="50"/>
      <w:r>
        <w:t>实施风险降低措施：故障发生直接影响服务的可用性，因此实施风险降低措施必须结合可用性管理进行。</w:t>
      </w:r>
    </w:p>
    <w:p w14:paraId="5D0847A5">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实施备用方案：恢复方案的实施有赖于一系列的备用方案，包括场所、系统及供应商方面。对于备用方案需要进行测试、操作培训及维护以确保需要时可以立即启动备用方案。</w:t>
      </w:r>
    </w:p>
    <w:p w14:paraId="6471FEFD">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制定《连续性管理计划》，保证实施人员可以直接按照流程文档实施恢复方案：确保可以持续地提供有关关键系统、服务和设施的必要信息或在可接受的时段内能够恢复此类信息。</w:t>
      </w:r>
    </w:p>
    <w:p w14:paraId="4D083117">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51" w:name="_Toc11192"/>
      <w:r>
        <w:t>运作阶段</w:t>
      </w:r>
      <w:bookmarkEnd w:id="51"/>
    </w:p>
    <w:p w14:paraId="3CC385B7">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52" w:name="bookmark52"/>
      <w:bookmarkEnd w:id="52"/>
      <w:r>
        <w:t>连续性计划测试</w:t>
      </w:r>
    </w:p>
    <w:p w14:paraId="2647D544">
      <w:pPr>
        <w:pStyle w:val="4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pPr>
      <w:r>
        <w:t>运维</w:t>
      </w:r>
      <w:r>
        <w:rPr>
          <w:rFonts w:hint="eastAsia"/>
          <w:lang w:val="en-US" w:eastAsia="zh-CN"/>
        </w:rPr>
        <w:t>项目</w:t>
      </w:r>
      <w:r>
        <w:t>经理安排组织连续性计划范围内的人员编制测试计划并进行测试，测试完毕结果归并到《连续性管理计划测试报告》。</w:t>
      </w:r>
    </w:p>
    <w:p w14:paraId="558C8FDB">
      <w:pPr>
        <w:pStyle w:val="4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pPr>
      <w:r>
        <w:t>根据服务需要，运维管理部经理会同公司领导对连续性管理计划测试结果进行评审，形成《连续性管理计划评审报告》，记录测试存在的问题，必要时修改《连续性管理计划》</w:t>
      </w:r>
      <w:r>
        <w:rPr>
          <w:rFonts w:hint="eastAsia"/>
          <w:lang w:eastAsia="zh-CN"/>
        </w:rPr>
        <w:t>。</w:t>
      </w:r>
    </w:p>
    <w:p w14:paraId="4D2DC62A">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沟通和培训</w:t>
      </w:r>
    </w:p>
    <w:p w14:paraId="07457B3D">
      <w:pPr>
        <w:pStyle w:val="4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val="en-US" w:eastAsia="zh-CN"/>
        </w:rPr>
        <w:t>运维</w:t>
      </w:r>
      <w:r>
        <w:t>项目经理组织有关人员进行沟通或培训，确保有关人员知道自己的职责和任务。</w:t>
      </w:r>
    </w:p>
    <w:p w14:paraId="3B66F14D">
      <w:pPr>
        <w:pStyle w:val="4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pPr>
      <w:r>
        <w:t>必要时</w:t>
      </w:r>
      <w:r>
        <w:rPr>
          <w:rFonts w:hint="eastAsia"/>
          <w:lang w:val="en-US" w:eastAsia="zh-CN"/>
        </w:rPr>
        <w:t>运维</w:t>
      </w:r>
      <w:r>
        <w:t>项目经理对培训的效果进行评价。</w:t>
      </w:r>
    </w:p>
    <w:p w14:paraId="180098D3">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连续性计划维护</w:t>
      </w:r>
    </w:p>
    <w:p w14:paraId="2515148C">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对一线人员进行连续性方面的意识培养，使他们将维护连续性作为常规的工作。</w:t>
      </w:r>
    </w:p>
    <w:p w14:paraId="77F45780">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对连续性流程进行定期评审以确保经常性的更新。</w:t>
      </w:r>
    </w:p>
    <w:p w14:paraId="6B7CA4DE">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每年至少应进行必要的连续性计划测试。</w:t>
      </w:r>
    </w:p>
    <w:p w14:paraId="54398D4F">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评审和测试以后需要进行日常的变更管理，因此也需要连续性得到及时更新。</w:t>
      </w:r>
    </w:p>
    <w:p w14:paraId="4D980A34">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进行包括维护人员和销售人员的培训，以保证在必要的时候他们有能力完成业务恢复工作</w:t>
      </w:r>
    </w:p>
    <w:p w14:paraId="5A32F8BB">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保证连续性生命周期的最后程序得到市场中心经理和公司领导的确认，以保证连续性流程的运营流程得到顺利的执行。</w:t>
      </w:r>
    </w:p>
    <w:p w14:paraId="1D603757">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公司定期对连续性计划所需得到人员、技术及基础设施进行检查、评价，以确保连续性计划的有效性。</w:t>
      </w:r>
    </w:p>
    <w:p w14:paraId="6D62B8F8">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53" w:name="bookmark28"/>
      <w:bookmarkEnd w:id="53"/>
      <w:bookmarkStart w:id="54" w:name="bookmark31"/>
      <w:bookmarkEnd w:id="54"/>
      <w:bookmarkStart w:id="55" w:name="bookmark29"/>
      <w:bookmarkEnd w:id="55"/>
      <w:bookmarkStart w:id="56" w:name="bookmark30"/>
      <w:bookmarkEnd w:id="56"/>
      <w:bookmarkStart w:id="57" w:name="_Toc7373"/>
      <w:r>
        <w:t>与其他流程的关系</w:t>
      </w:r>
      <w:bookmarkEnd w:id="57"/>
    </w:p>
    <w:p w14:paraId="6B00D128">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58" w:name="_Toc15792"/>
      <w:r>
        <w:t>与事件管理流程的关系</w:t>
      </w:r>
      <w:bookmarkEnd w:id="58"/>
    </w:p>
    <w:p w14:paraId="4D2216B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可用性</w:t>
      </w:r>
      <w:r>
        <w:rPr>
          <w:rFonts w:hint="eastAsia"/>
          <w:lang w:eastAsia="zh-CN"/>
        </w:rPr>
        <w:t>、</w:t>
      </w:r>
      <w:r>
        <w:rPr>
          <w:rFonts w:hint="eastAsia"/>
          <w:lang w:val="en-US" w:eastAsia="zh-CN"/>
        </w:rPr>
        <w:t>连续性</w:t>
      </w:r>
      <w:r>
        <w:t>中断的发生，均应在事件管理流程中得到记录。</w:t>
      </w:r>
      <w:bookmarkStart w:id="59" w:name="bookmark32"/>
      <w:bookmarkEnd w:id="59"/>
      <w:bookmarkStart w:id="60" w:name="bookmark33"/>
      <w:bookmarkEnd w:id="60"/>
    </w:p>
    <w:p w14:paraId="6A604B16">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1" w:name="_Toc21777"/>
      <w:r>
        <w:t>与问题管理流程的关系</w:t>
      </w:r>
      <w:bookmarkEnd w:id="61"/>
    </w:p>
    <w:p w14:paraId="76A1E84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系统相关隐患被识别，需要根源调查、处置，以提高可用性，可通过问题管理流程进行管理。</w:t>
      </w:r>
    </w:p>
    <w:p w14:paraId="6AEC1260">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2" w:name="bookmark35"/>
      <w:bookmarkEnd w:id="62"/>
      <w:bookmarkStart w:id="63" w:name="bookmark34"/>
      <w:bookmarkEnd w:id="63"/>
      <w:bookmarkStart w:id="64" w:name="_Toc23943"/>
      <w:r>
        <w:t>与变更、发布管理流程的关系</w:t>
      </w:r>
      <w:bookmarkEnd w:id="64"/>
    </w:p>
    <w:p w14:paraId="019737C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为提高系统可用性</w:t>
      </w:r>
      <w:r>
        <w:rPr>
          <w:rFonts w:hint="eastAsia"/>
          <w:lang w:val="en-US" w:eastAsia="zh-CN"/>
        </w:rPr>
        <w:t>和连续性</w:t>
      </w:r>
      <w:r>
        <w:t>，产生的系统变更，应通过变更、发布管理流程进管控。</w:t>
      </w:r>
    </w:p>
    <w:p w14:paraId="41C83F80">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5" w:name="bookmark36"/>
      <w:bookmarkEnd w:id="65"/>
      <w:bookmarkStart w:id="66" w:name="bookmark37"/>
      <w:bookmarkEnd w:id="66"/>
      <w:bookmarkStart w:id="67" w:name="_Toc25158"/>
      <w:r>
        <w:t>与配置管理流程的关系</w:t>
      </w:r>
      <w:bookmarkEnd w:id="67"/>
    </w:p>
    <w:p w14:paraId="2C754D4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配置管理数据库为可用性</w:t>
      </w:r>
      <w:r>
        <w:rPr>
          <w:rFonts w:hint="eastAsia"/>
          <w:lang w:eastAsia="zh-CN"/>
        </w:rPr>
        <w:t>、</w:t>
      </w:r>
      <w:r>
        <w:rPr>
          <w:rFonts w:hint="eastAsia"/>
          <w:lang w:val="en-US" w:eastAsia="zh-CN"/>
        </w:rPr>
        <w:t>连续性</w:t>
      </w:r>
      <w:r>
        <w:t>系统分析提供数据基础。因可用性</w:t>
      </w:r>
      <w:r>
        <w:rPr>
          <w:rFonts w:hint="eastAsia"/>
          <w:lang w:eastAsia="zh-CN"/>
        </w:rPr>
        <w:t>、</w:t>
      </w:r>
      <w:r>
        <w:rPr>
          <w:rFonts w:hint="eastAsia"/>
          <w:lang w:val="en-US" w:eastAsia="zh-CN"/>
        </w:rPr>
        <w:t>连续性</w:t>
      </w:r>
      <w:r>
        <w:t>发生的配置变更，也应对相关的配置项进行更新。</w:t>
      </w:r>
    </w:p>
    <w:p w14:paraId="3EA309A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1434"/>
      <w:r>
        <w:rPr>
          <w:rFonts w:hint="default"/>
          <w:lang w:val="en-US" w:eastAsia="zh-CN"/>
        </w:rPr>
        <w:br w:type="page"/>
      </w:r>
    </w:p>
    <w:p w14:paraId="195C3645">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69" w:name="_Toc7121"/>
      <w:r>
        <w:rPr>
          <w:rFonts w:hint="default"/>
          <w:lang w:val="en-US" w:eastAsia="zh-CN"/>
        </w:rPr>
        <w:t>关键指标</w:t>
      </w:r>
      <w:bookmarkEnd w:id="68"/>
      <w:bookmarkEnd w:id="69"/>
    </w:p>
    <w:tbl>
      <w:tblPr>
        <w:tblStyle w:val="28"/>
        <w:tblW w:w="8921"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364"/>
        <w:gridCol w:w="1581"/>
        <w:gridCol w:w="1912"/>
      </w:tblGrid>
      <w:tr w14:paraId="382FB7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EA9889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3A09CE0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364" w:type="dxa"/>
            <w:tcBorders>
              <w:top w:val="single" w:color="000000" w:sz="6" w:space="0"/>
              <w:bottom w:val="single" w:color="000000" w:sz="6" w:space="0"/>
              <w:right w:val="single" w:color="000000" w:sz="6" w:space="0"/>
            </w:tcBorders>
            <w:shd w:val="clear" w:color="auto" w:fill="C0C0C0"/>
          </w:tcPr>
          <w:p w14:paraId="70B0358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581" w:type="dxa"/>
            <w:tcBorders>
              <w:top w:val="single" w:color="000000" w:sz="6" w:space="0"/>
              <w:bottom w:val="single" w:color="000000" w:sz="6" w:space="0"/>
              <w:right w:val="single" w:color="000000" w:sz="6" w:space="0"/>
            </w:tcBorders>
            <w:shd w:val="clear" w:color="auto" w:fill="C0C0C0"/>
          </w:tcPr>
          <w:p w14:paraId="417979F1">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912" w:type="dxa"/>
            <w:tcBorders>
              <w:top w:val="single" w:color="000000" w:sz="6" w:space="0"/>
              <w:bottom w:val="single" w:color="000000" w:sz="6" w:space="0"/>
              <w:right w:val="single" w:color="000000" w:sz="6" w:space="0"/>
            </w:tcBorders>
            <w:shd w:val="clear" w:color="auto" w:fill="C0C0C0"/>
          </w:tcPr>
          <w:p w14:paraId="602A591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0AF0915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bottom w:val="single" w:color="000000" w:sz="6" w:space="0"/>
            </w:tcBorders>
          </w:tcPr>
          <w:p w14:paraId="431F2DC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bottom w:val="single" w:color="000000" w:sz="6" w:space="0"/>
            </w:tcBorders>
          </w:tcPr>
          <w:p w14:paraId="40985F7D">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业务可用性</w:t>
            </w:r>
          </w:p>
        </w:tc>
        <w:tc>
          <w:tcPr>
            <w:tcW w:w="3364" w:type="dxa"/>
            <w:tcBorders>
              <w:top w:val="single" w:color="000000" w:sz="6" w:space="0"/>
              <w:bottom w:val="single" w:color="000000" w:sz="6" w:space="0"/>
              <w:right w:val="single" w:color="000000" w:sz="6" w:space="0"/>
            </w:tcBorders>
          </w:tcPr>
          <w:p w14:paraId="26577A32">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可用时间/整体运行时间*100%</w:t>
            </w:r>
          </w:p>
        </w:tc>
        <w:tc>
          <w:tcPr>
            <w:tcW w:w="1581" w:type="dxa"/>
            <w:tcBorders>
              <w:top w:val="single" w:color="000000" w:sz="6" w:space="0"/>
              <w:bottom w:val="single" w:color="000000" w:sz="6" w:space="0"/>
              <w:right w:val="single" w:color="000000" w:sz="6" w:space="0"/>
            </w:tcBorders>
          </w:tcPr>
          <w:p w14:paraId="734CFFD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912" w:type="dxa"/>
            <w:tcBorders>
              <w:top w:val="single" w:color="000000" w:sz="6" w:space="0"/>
              <w:bottom w:val="single" w:color="000000" w:sz="6" w:space="0"/>
              <w:right w:val="single" w:color="000000" w:sz="6" w:space="0"/>
            </w:tcBorders>
            <w:shd w:val="clear" w:color="auto" w:fill="auto"/>
            <w:vAlign w:val="center"/>
          </w:tcPr>
          <w:p w14:paraId="4CCDFB8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≥99%</w:t>
            </w:r>
          </w:p>
        </w:tc>
      </w:tr>
      <w:tr w14:paraId="326A2AD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42DE06B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2</w:t>
            </w:r>
          </w:p>
        </w:tc>
        <w:tc>
          <w:tcPr>
            <w:tcW w:w="1337" w:type="dxa"/>
            <w:tcBorders>
              <w:top w:val="single" w:color="000000" w:sz="6" w:space="0"/>
            </w:tcBorders>
            <w:shd w:val="clear" w:color="auto" w:fill="auto"/>
            <w:vAlign w:val="center"/>
          </w:tcPr>
          <w:p w14:paraId="4A1D6B1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服务连续性</w:t>
            </w:r>
          </w:p>
        </w:tc>
        <w:tc>
          <w:tcPr>
            <w:tcW w:w="3364" w:type="dxa"/>
            <w:tcBorders>
              <w:top w:val="single" w:color="000000" w:sz="6" w:space="0"/>
              <w:right w:val="single" w:color="000000" w:sz="6" w:space="0"/>
            </w:tcBorders>
            <w:shd w:val="clear" w:color="auto" w:fill="auto"/>
            <w:vAlign w:val="center"/>
          </w:tcPr>
          <w:p w14:paraId="0069B432">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由于突发事件导致故障的次数</w:t>
            </w:r>
          </w:p>
        </w:tc>
        <w:tc>
          <w:tcPr>
            <w:tcW w:w="1581" w:type="dxa"/>
            <w:tcBorders>
              <w:top w:val="single" w:color="000000" w:sz="6" w:space="0"/>
              <w:right w:val="single" w:color="000000" w:sz="6" w:space="0"/>
            </w:tcBorders>
          </w:tcPr>
          <w:p w14:paraId="0345D6E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912" w:type="dxa"/>
            <w:tcBorders>
              <w:top w:val="single" w:color="000000" w:sz="6" w:space="0"/>
              <w:right w:val="single" w:color="000000" w:sz="6" w:space="0"/>
            </w:tcBorders>
            <w:shd w:val="clear" w:color="auto" w:fill="auto"/>
            <w:vAlign w:val="center"/>
          </w:tcPr>
          <w:p w14:paraId="52593F9E">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≤2次</w:t>
            </w:r>
          </w:p>
        </w:tc>
      </w:tr>
    </w:tbl>
    <w:p w14:paraId="1A48DE86">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0" w:name="bookmark38"/>
      <w:bookmarkEnd w:id="70"/>
      <w:bookmarkStart w:id="71" w:name="bookmark39"/>
      <w:bookmarkEnd w:id="71"/>
      <w:bookmarkStart w:id="72" w:name="_Toc29000"/>
      <w:r>
        <w:t>相关文件</w:t>
      </w:r>
      <w:bookmarkEnd w:id="72"/>
    </w:p>
    <w:p w14:paraId="268F2211">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bookmarkStart w:id="73" w:name="bookmark45"/>
      <w:bookmarkEnd w:id="73"/>
      <w:r>
        <w:t>《</w:t>
      </w:r>
      <w:r>
        <w:rPr>
          <w:rFonts w:hint="eastAsia"/>
          <w:lang w:val="en-US" w:eastAsia="zh-CN"/>
        </w:rPr>
        <w:t>服务可用性和业务</w:t>
      </w:r>
      <w:r>
        <w:t>连续性管理程序》</w:t>
      </w:r>
    </w:p>
    <w:p w14:paraId="6A77D562">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r>
        <w:t>《信息安全管理程序》</w:t>
      </w:r>
    </w:p>
    <w:p w14:paraId="4C7D54F5">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r>
        <w:t>《</w:t>
      </w:r>
      <w:r>
        <w:rPr>
          <w:rFonts w:hint="eastAsia"/>
        </w:rPr>
        <w:t>运维服务能力管理制度</w:t>
      </w:r>
      <w:r>
        <w:t>》</w:t>
      </w:r>
    </w:p>
    <w:p w14:paraId="7C80D2CB">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4" w:name="bookmark41"/>
      <w:bookmarkEnd w:id="74"/>
      <w:bookmarkStart w:id="75" w:name="bookmark40"/>
      <w:bookmarkEnd w:id="75"/>
      <w:bookmarkStart w:id="76" w:name="_Toc7753"/>
      <w:r>
        <w:t>记录</w:t>
      </w:r>
      <w:bookmarkEnd w:id="76"/>
    </w:p>
    <w:p w14:paraId="3ED9FB6D">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《服务可用性和业务连续性管理计划》</w:t>
      </w:r>
    </w:p>
    <w:p w14:paraId="7AF7828B">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《可用性分析报告》</w:t>
      </w:r>
    </w:p>
    <w:p w14:paraId="39951E96">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《连续性测试报告》</w:t>
      </w:r>
    </w:p>
    <w:sectPr>
      <w:pgSz w:w="11906" w:h="16838"/>
      <w:pgMar w:top="1440" w:right="1800" w:bottom="1440" w:left="85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8EA19">
    <w:pPr>
      <w:spacing w:line="176" w:lineRule="auto"/>
      <w:ind w:left="5919"/>
      <w:rPr>
        <w:rFonts w:ascii="Times New Roman" w:hAnsi="Times New Roman" w:eastAsia="Times New Roman" w:cs="Times New Roman"/>
        <w:sz w:val="18"/>
        <w:szCs w:val="18"/>
      </w:rPr>
    </w:pPr>
    <w:r>
      <w:rPr>
        <w:rFonts w:ascii="Times New Roman" w:hAnsi="Times New Roman" w:eastAsia="Times New Roman" w:cs="Times New Roman"/>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A2CDA">
    <w:pPr>
      <w:spacing w:before="45" w:line="239" w:lineRule="auto"/>
      <w:ind w:left="8325" w:right="373" w:hanging="1268"/>
      <w:rPr>
        <w:rFonts w:ascii="仿宋" w:hAnsi="仿宋" w:eastAsia="仿宋" w:cs="仿宋"/>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11BB85"/>
    <w:multiLevelType w:val="singleLevel"/>
    <w:tmpl w:val="8011BB85"/>
    <w:lvl w:ilvl="0" w:tentative="0">
      <w:start w:val="1"/>
      <w:numFmt w:val="decimal"/>
      <w:lvlText w:val="%1."/>
      <w:lvlJc w:val="left"/>
      <w:pPr>
        <w:ind w:left="425" w:hanging="425"/>
      </w:pPr>
      <w:rPr>
        <w:rFonts w:hint="default"/>
      </w:rPr>
    </w:lvl>
  </w:abstractNum>
  <w:abstractNum w:abstractNumId="1">
    <w:nsid w:val="884289DE"/>
    <w:multiLevelType w:val="singleLevel"/>
    <w:tmpl w:val="884289DE"/>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166B541"/>
    <w:multiLevelType w:val="singleLevel"/>
    <w:tmpl w:val="9166B541"/>
    <w:lvl w:ilvl="0" w:tentative="0">
      <w:start w:val="1"/>
      <w:numFmt w:val="decimal"/>
      <w:lvlText w:val="%1."/>
      <w:lvlJc w:val="left"/>
      <w:pPr>
        <w:ind w:left="425" w:hanging="425"/>
      </w:pPr>
      <w:rPr>
        <w:rFonts w:hint="default"/>
      </w:rPr>
    </w:lvl>
  </w:abstractNum>
  <w:abstractNum w:abstractNumId="4">
    <w:nsid w:val="AC064F7C"/>
    <w:multiLevelType w:val="singleLevel"/>
    <w:tmpl w:val="AC064F7C"/>
    <w:lvl w:ilvl="0" w:tentative="0">
      <w:start w:val="1"/>
      <w:numFmt w:val="decimal"/>
      <w:lvlText w:val="%1."/>
      <w:lvlJc w:val="left"/>
      <w:pPr>
        <w:ind w:left="425" w:hanging="425"/>
      </w:pPr>
      <w:rPr>
        <w:rFonts w:hint="default"/>
      </w:rPr>
    </w:lvl>
  </w:abstractNum>
  <w:abstractNum w:abstractNumId="5">
    <w:nsid w:val="AFC0E7CB"/>
    <w:multiLevelType w:val="singleLevel"/>
    <w:tmpl w:val="AFC0E7CB"/>
    <w:lvl w:ilvl="0" w:tentative="0">
      <w:start w:val="1"/>
      <w:numFmt w:val="decimal"/>
      <w:lvlText w:val="%1."/>
      <w:lvlJc w:val="left"/>
      <w:pPr>
        <w:ind w:left="425" w:hanging="425"/>
      </w:pPr>
      <w:rPr>
        <w:rFonts w:hint="default" w:ascii="Arial" w:hAnsi="Arial" w:cs="Arial"/>
      </w:rPr>
    </w:lvl>
  </w:abstractNum>
  <w:abstractNum w:abstractNumId="6">
    <w:nsid w:val="B586DDE5"/>
    <w:multiLevelType w:val="singleLevel"/>
    <w:tmpl w:val="B586DDE5"/>
    <w:lvl w:ilvl="0" w:tentative="0">
      <w:start w:val="1"/>
      <w:numFmt w:val="decimal"/>
      <w:lvlText w:val="%1."/>
      <w:lvlJc w:val="left"/>
      <w:pPr>
        <w:ind w:left="425" w:hanging="425"/>
      </w:pPr>
      <w:rPr>
        <w:rFonts w:hint="default"/>
      </w:rPr>
    </w:lvl>
  </w:abstractNum>
  <w:abstractNum w:abstractNumId="7">
    <w:nsid w:val="C043A8AF"/>
    <w:multiLevelType w:val="singleLevel"/>
    <w:tmpl w:val="C043A8AF"/>
    <w:lvl w:ilvl="0" w:tentative="0">
      <w:start w:val="1"/>
      <w:numFmt w:val="decimal"/>
      <w:lvlText w:val="%1."/>
      <w:lvlJc w:val="left"/>
      <w:pPr>
        <w:ind w:left="425" w:hanging="425"/>
      </w:pPr>
      <w:rPr>
        <w:rFonts w:hint="default"/>
      </w:rPr>
    </w:lvl>
  </w:abstractNum>
  <w:abstractNum w:abstractNumId="8">
    <w:nsid w:val="C559F704"/>
    <w:multiLevelType w:val="singleLevel"/>
    <w:tmpl w:val="C559F704"/>
    <w:lvl w:ilvl="0" w:tentative="0">
      <w:start w:val="1"/>
      <w:numFmt w:val="decimal"/>
      <w:lvlText w:val="%1."/>
      <w:lvlJc w:val="left"/>
      <w:pPr>
        <w:ind w:left="425" w:hanging="425"/>
      </w:pPr>
      <w:rPr>
        <w:rFonts w:hint="default"/>
      </w:rPr>
    </w:lvl>
  </w:abstractNum>
  <w:abstractNum w:abstractNumId="9">
    <w:nsid w:val="CA137E46"/>
    <w:multiLevelType w:val="singleLevel"/>
    <w:tmpl w:val="CA137E46"/>
    <w:lvl w:ilvl="0" w:tentative="0">
      <w:start w:val="1"/>
      <w:numFmt w:val="decimal"/>
      <w:lvlText w:val="%1."/>
      <w:lvlJc w:val="left"/>
      <w:pPr>
        <w:ind w:left="425" w:hanging="425"/>
      </w:pPr>
      <w:rPr>
        <w:rFonts w:hint="default"/>
      </w:rPr>
    </w:lvl>
  </w:abstractNum>
  <w:abstractNum w:abstractNumId="10">
    <w:nsid w:val="D38BECFB"/>
    <w:multiLevelType w:val="singleLevel"/>
    <w:tmpl w:val="D38BECFB"/>
    <w:lvl w:ilvl="0" w:tentative="0">
      <w:start w:val="1"/>
      <w:numFmt w:val="decimal"/>
      <w:lvlText w:val="%1."/>
      <w:lvlJc w:val="left"/>
      <w:pPr>
        <w:ind w:left="425" w:hanging="425"/>
      </w:pPr>
      <w:rPr>
        <w:rFonts w:hint="default"/>
      </w:rPr>
    </w:lvl>
  </w:abstractNum>
  <w:abstractNum w:abstractNumId="11">
    <w:nsid w:val="E43C1864"/>
    <w:multiLevelType w:val="singleLevel"/>
    <w:tmpl w:val="E43C1864"/>
    <w:lvl w:ilvl="0" w:tentative="0">
      <w:start w:val="1"/>
      <w:numFmt w:val="decimal"/>
      <w:lvlText w:val="%1."/>
      <w:lvlJc w:val="left"/>
      <w:pPr>
        <w:ind w:left="425" w:hanging="425"/>
      </w:pPr>
      <w:rPr>
        <w:rFonts w:hint="default"/>
      </w:rPr>
    </w:lvl>
  </w:abstractNum>
  <w:abstractNum w:abstractNumId="12">
    <w:nsid w:val="EA8BABA5"/>
    <w:multiLevelType w:val="singleLevel"/>
    <w:tmpl w:val="EA8BABA5"/>
    <w:lvl w:ilvl="0" w:tentative="0">
      <w:start w:val="1"/>
      <w:numFmt w:val="decimal"/>
      <w:lvlText w:val="%1."/>
      <w:lvlJc w:val="left"/>
      <w:pPr>
        <w:ind w:left="425" w:hanging="425"/>
      </w:pPr>
      <w:rPr>
        <w:rFonts w:hint="default"/>
      </w:rPr>
    </w:lvl>
  </w:abstractNum>
  <w:abstractNum w:abstractNumId="13">
    <w:nsid w:val="FF5D57DB"/>
    <w:multiLevelType w:val="singleLevel"/>
    <w:tmpl w:val="FF5D57DB"/>
    <w:lvl w:ilvl="0" w:tentative="0">
      <w:start w:val="1"/>
      <w:numFmt w:val="decimal"/>
      <w:lvlText w:val="%1."/>
      <w:lvlJc w:val="left"/>
      <w:pPr>
        <w:ind w:left="425" w:hanging="425"/>
      </w:pPr>
      <w:rPr>
        <w:rFonts w:hint="default"/>
      </w:rPr>
    </w:lvl>
  </w:abstractNum>
  <w:abstractNum w:abstractNumId="14">
    <w:nsid w:val="019BE019"/>
    <w:multiLevelType w:val="singleLevel"/>
    <w:tmpl w:val="019BE019"/>
    <w:lvl w:ilvl="0" w:tentative="0">
      <w:start w:val="1"/>
      <w:numFmt w:val="decimal"/>
      <w:lvlText w:val="%1."/>
      <w:lvlJc w:val="left"/>
      <w:pPr>
        <w:ind w:left="425" w:hanging="425"/>
      </w:pPr>
      <w:rPr>
        <w:rFonts w:hint="default"/>
      </w:rPr>
    </w:lvl>
  </w:abstractNum>
  <w:abstractNum w:abstractNumId="15">
    <w:nsid w:val="028D79C1"/>
    <w:multiLevelType w:val="singleLevel"/>
    <w:tmpl w:val="028D79C1"/>
    <w:lvl w:ilvl="0" w:tentative="0">
      <w:start w:val="1"/>
      <w:numFmt w:val="decimal"/>
      <w:lvlText w:val="%1."/>
      <w:lvlJc w:val="left"/>
      <w:pPr>
        <w:ind w:left="425" w:hanging="425"/>
      </w:pPr>
      <w:rPr>
        <w:rFonts w:hint="default"/>
      </w:rPr>
    </w:lvl>
  </w:abstractNum>
  <w:abstractNum w:abstractNumId="16">
    <w:nsid w:val="07290DDE"/>
    <w:multiLevelType w:val="singleLevel"/>
    <w:tmpl w:val="07290DDE"/>
    <w:lvl w:ilvl="0" w:tentative="0">
      <w:start w:val="1"/>
      <w:numFmt w:val="decimal"/>
      <w:lvlText w:val="%1."/>
      <w:lvlJc w:val="left"/>
      <w:pPr>
        <w:ind w:left="425" w:hanging="425"/>
      </w:pPr>
      <w:rPr>
        <w:rFonts w:hint="default"/>
      </w:rPr>
    </w:lvl>
  </w:abstractNum>
  <w:abstractNum w:abstractNumId="17">
    <w:nsid w:val="0C047421"/>
    <w:multiLevelType w:val="singleLevel"/>
    <w:tmpl w:val="0C047421"/>
    <w:lvl w:ilvl="0" w:tentative="0">
      <w:start w:val="1"/>
      <w:numFmt w:val="decimal"/>
      <w:lvlText w:val="%1."/>
      <w:lvlJc w:val="left"/>
      <w:pPr>
        <w:ind w:left="425" w:hanging="425"/>
      </w:pPr>
      <w:rPr>
        <w:rFonts w:hint="default"/>
      </w:rPr>
    </w:lvl>
  </w:abstractNum>
  <w:abstractNum w:abstractNumId="18">
    <w:nsid w:val="0C5077CA"/>
    <w:multiLevelType w:val="singleLevel"/>
    <w:tmpl w:val="0C5077CA"/>
    <w:lvl w:ilvl="0" w:tentative="0">
      <w:start w:val="1"/>
      <w:numFmt w:val="decimal"/>
      <w:lvlText w:val="(%1)"/>
      <w:lvlJc w:val="left"/>
      <w:pPr>
        <w:tabs>
          <w:tab w:val="left" w:pos="420"/>
        </w:tabs>
        <w:ind w:left="845" w:hanging="425"/>
      </w:pPr>
      <w:rPr>
        <w:rFonts w:hint="default"/>
      </w:rPr>
    </w:lvl>
  </w:abstractNum>
  <w:abstractNum w:abstractNumId="19">
    <w:nsid w:val="2A0F0B6B"/>
    <w:multiLevelType w:val="singleLevel"/>
    <w:tmpl w:val="2A0F0B6B"/>
    <w:lvl w:ilvl="0" w:tentative="0">
      <w:start w:val="1"/>
      <w:numFmt w:val="decimal"/>
      <w:lvlText w:val="%1."/>
      <w:lvlJc w:val="left"/>
      <w:pPr>
        <w:ind w:left="425" w:hanging="425"/>
      </w:pPr>
      <w:rPr>
        <w:rFonts w:hint="default"/>
      </w:rPr>
    </w:lvl>
  </w:abstractNum>
  <w:abstractNum w:abstractNumId="20">
    <w:nsid w:val="2BC8988C"/>
    <w:multiLevelType w:val="singleLevel"/>
    <w:tmpl w:val="2BC8988C"/>
    <w:lvl w:ilvl="0" w:tentative="0">
      <w:start w:val="1"/>
      <w:numFmt w:val="decimal"/>
      <w:lvlText w:val="%1."/>
      <w:lvlJc w:val="left"/>
      <w:pPr>
        <w:ind w:left="425" w:hanging="425"/>
      </w:pPr>
      <w:rPr>
        <w:rFonts w:hint="default"/>
      </w:rPr>
    </w:lvl>
  </w:abstractNum>
  <w:abstractNum w:abstractNumId="21">
    <w:nsid w:val="33521DEC"/>
    <w:multiLevelType w:val="singleLevel"/>
    <w:tmpl w:val="33521DEC"/>
    <w:lvl w:ilvl="0" w:tentative="0">
      <w:start w:val="1"/>
      <w:numFmt w:val="decimal"/>
      <w:lvlText w:val="%1."/>
      <w:lvlJc w:val="left"/>
      <w:pPr>
        <w:ind w:left="425" w:hanging="425"/>
      </w:pPr>
      <w:rPr>
        <w:rFonts w:hint="default"/>
      </w:rPr>
    </w:lvl>
  </w:abstractNum>
  <w:abstractNum w:abstractNumId="22">
    <w:nsid w:val="42BBF6CD"/>
    <w:multiLevelType w:val="singleLevel"/>
    <w:tmpl w:val="42BBF6CD"/>
    <w:lvl w:ilvl="0" w:tentative="0">
      <w:start w:val="1"/>
      <w:numFmt w:val="decimal"/>
      <w:lvlText w:val="%1."/>
      <w:lvlJc w:val="left"/>
      <w:pPr>
        <w:ind w:left="425" w:hanging="425"/>
      </w:pPr>
      <w:rPr>
        <w:rFonts w:hint="default"/>
      </w:rPr>
    </w:lvl>
  </w:abstractNum>
  <w:abstractNum w:abstractNumId="23">
    <w:nsid w:val="4A205BAD"/>
    <w:multiLevelType w:val="singleLevel"/>
    <w:tmpl w:val="4A205BAD"/>
    <w:lvl w:ilvl="0" w:tentative="0">
      <w:start w:val="1"/>
      <w:numFmt w:val="decimal"/>
      <w:lvlText w:val="(%1)"/>
      <w:lvlJc w:val="left"/>
      <w:pPr>
        <w:tabs>
          <w:tab w:val="left" w:pos="420"/>
        </w:tabs>
        <w:ind w:left="845" w:hanging="425"/>
      </w:pPr>
      <w:rPr>
        <w:rFonts w:hint="default"/>
      </w:rPr>
    </w:lvl>
  </w:abstractNum>
  <w:abstractNum w:abstractNumId="24">
    <w:nsid w:val="69CCB241"/>
    <w:multiLevelType w:val="singleLevel"/>
    <w:tmpl w:val="69CCB241"/>
    <w:lvl w:ilvl="0" w:tentative="0">
      <w:start w:val="1"/>
      <w:numFmt w:val="decimal"/>
      <w:lvlText w:val="%1."/>
      <w:lvlJc w:val="left"/>
      <w:pPr>
        <w:ind w:left="425" w:hanging="425"/>
      </w:pPr>
      <w:rPr>
        <w:rFonts w:hint="default"/>
      </w:rPr>
    </w:lvl>
  </w:abstractNum>
  <w:abstractNum w:abstractNumId="25">
    <w:nsid w:val="7B0D0079"/>
    <w:multiLevelType w:val="singleLevel"/>
    <w:tmpl w:val="7B0D0079"/>
    <w:lvl w:ilvl="0" w:tentative="0">
      <w:start w:val="1"/>
      <w:numFmt w:val="decimal"/>
      <w:lvlText w:val="%1."/>
      <w:lvlJc w:val="left"/>
      <w:pPr>
        <w:ind w:left="425" w:hanging="425"/>
      </w:pPr>
      <w:rPr>
        <w:rFonts w:hint="default"/>
      </w:rPr>
    </w:lvl>
  </w:abstractNum>
  <w:num w:numId="1">
    <w:abstractNumId w:val="2"/>
  </w:num>
  <w:num w:numId="2">
    <w:abstractNumId w:val="21"/>
  </w:num>
  <w:num w:numId="3">
    <w:abstractNumId w:val="3"/>
  </w:num>
  <w:num w:numId="4">
    <w:abstractNumId w:val="16"/>
  </w:num>
  <w:num w:numId="5">
    <w:abstractNumId w:val="17"/>
  </w:num>
  <w:num w:numId="6">
    <w:abstractNumId w:val="1"/>
  </w:num>
  <w:num w:numId="7">
    <w:abstractNumId w:val="1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4"/>
  </w:num>
  <w:num w:numId="10">
    <w:abstractNumId w:val="12"/>
  </w:num>
  <w:num w:numId="11">
    <w:abstractNumId w:val="25"/>
  </w:num>
  <w:num w:numId="12">
    <w:abstractNumId w:val="7"/>
  </w:num>
  <w:num w:numId="13">
    <w:abstractNumId w:val="19"/>
  </w:num>
  <w:num w:numId="14">
    <w:abstractNumId w:val="0"/>
  </w:num>
  <w:num w:numId="15">
    <w:abstractNumId w:val="5"/>
  </w:num>
  <w:num w:numId="16">
    <w:abstractNumId w:val="20"/>
  </w:num>
  <w:num w:numId="17">
    <w:abstractNumId w:val="14"/>
  </w:num>
  <w:num w:numId="18">
    <w:abstractNumId w:val="9"/>
  </w:num>
  <w:num w:numId="19">
    <w:abstractNumId w:val="15"/>
  </w:num>
  <w:num w:numId="20">
    <w:abstractNumId w:val="23"/>
  </w:num>
  <w:num w:numId="21">
    <w:abstractNumId w:val="18"/>
  </w:num>
  <w:num w:numId="22">
    <w:abstractNumId w:val="6"/>
  </w:num>
  <w:num w:numId="23">
    <w:abstractNumId w:val="10"/>
  </w:num>
  <w:num w:numId="24">
    <w:abstractNumId w:val="13"/>
  </w:num>
  <w:num w:numId="25">
    <w:abstractNumId w:val="22"/>
  </w:num>
  <w:num w:numId="26">
    <w:abstractNumId w:val="8"/>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037910"/>
    <w:rsid w:val="2E193E8A"/>
    <w:rsid w:val="398B396E"/>
    <w:rsid w:val="4AA701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26"/>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paragraph" w:styleId="25">
    <w:name w:val="No Spacing"/>
    <w:qFormat/>
    <w:uiPriority w:val="99"/>
    <w:rPr>
      <w:rFonts w:ascii="Calibri" w:hAnsi="Calibri" w:eastAsia="宋体" w:cs="Times New Roman"/>
      <w:sz w:val="22"/>
      <w:szCs w:val="22"/>
      <w:lang w:val="en-US" w:eastAsia="zh-CN" w:bidi="ar-SA"/>
    </w:rPr>
  </w:style>
  <w:style w:type="character" w:customStyle="1" w:styleId="26">
    <w:name w:val="标题 2 Char"/>
    <w:link w:val="3"/>
    <w:qFormat/>
    <w:uiPriority w:val="0"/>
    <w:rPr>
      <w:rFonts w:ascii="Arial" w:hAnsi="Arial" w:eastAsia="黑体"/>
      <w:b/>
      <w:sz w:val="32"/>
    </w:rPr>
  </w:style>
  <w:style w:type="paragraph" w:customStyle="1" w:styleId="27">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2"/>
    <w:qFormat/>
    <w:uiPriority w:val="0"/>
    <w:pPr>
      <w:spacing w:before="100" w:after="90" w:line="360" w:lineRule="auto"/>
    </w:pPr>
    <w:rPr>
      <w:rFonts w:ascii="Arial" w:hAnsi="Arial" w:eastAsia="宋体"/>
      <w:sz w:val="32"/>
    </w:rPr>
  </w:style>
  <w:style w:type="paragraph" w:customStyle="1" w:styleId="31">
    <w:name w:val="柴_正文"/>
    <w:basedOn w:val="13"/>
    <w:link w:val="45"/>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5">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36">
    <w:name w:val="柴_文档名"/>
    <w:basedOn w:val="20"/>
    <w:qFormat/>
    <w:uiPriority w:val="0"/>
    <w:pPr>
      <w:spacing w:after="900" w:afterLines="900"/>
    </w:pPr>
    <w:rPr>
      <w:rFonts w:ascii="黑体" w:hAnsi="黑体" w:eastAsia="黑体" w:cs="黑体"/>
      <w:bCs/>
      <w:spacing w:val="-7"/>
      <w:sz w:val="52"/>
      <w:szCs w:val="52"/>
    </w:rPr>
  </w:style>
  <w:style w:type="paragraph" w:customStyle="1" w:styleId="37">
    <w:name w:val="WPSOffice手动目录 1"/>
    <w:qFormat/>
    <w:uiPriority w:val="0"/>
    <w:pPr>
      <w:ind w:leftChars="0"/>
    </w:pPr>
    <w:rPr>
      <w:rFonts w:ascii="Times New Roman" w:hAnsi="Times New Roman" w:eastAsia="宋体" w:cs="Times New Roman"/>
      <w:sz w:val="20"/>
      <w:szCs w:val="20"/>
    </w:rPr>
  </w:style>
  <w:style w:type="paragraph" w:customStyle="1" w:styleId="38">
    <w:name w:val="WPSOffice手动目录 2"/>
    <w:qFormat/>
    <w:uiPriority w:val="0"/>
    <w:pPr>
      <w:ind w:leftChars="200"/>
    </w:pPr>
    <w:rPr>
      <w:rFonts w:ascii="Times New Roman" w:hAnsi="Times New Roman" w:eastAsia="宋体" w:cs="Times New Roman"/>
      <w:sz w:val="20"/>
      <w:szCs w:val="20"/>
    </w:rPr>
  </w:style>
  <w:style w:type="paragraph" w:customStyle="1" w:styleId="39">
    <w:name w:val="WPSOffice手动目录 3"/>
    <w:qFormat/>
    <w:uiPriority w:val="0"/>
    <w:pPr>
      <w:ind w:leftChars="400"/>
    </w:pPr>
    <w:rPr>
      <w:rFonts w:ascii="Times New Roman" w:hAnsi="Times New Roman" w:eastAsia="宋体" w:cs="Times New Roman"/>
      <w:sz w:val="20"/>
      <w:szCs w:val="20"/>
    </w:rPr>
  </w:style>
  <w:style w:type="paragraph" w:customStyle="1" w:styleId="40">
    <w:name w:val="Compact"/>
    <w:basedOn w:val="13"/>
    <w:qFormat/>
    <w:uiPriority w:val="0"/>
    <w:pPr>
      <w:spacing w:before="36" w:after="36"/>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2">
    <w:name w:val="柴_标题1 Char"/>
    <w:link w:val="30"/>
    <w:qFormat/>
    <w:uiPriority w:val="0"/>
    <w:rPr>
      <w:rFonts w:ascii="Arial" w:hAnsi="Arial" w:eastAsia="宋体"/>
      <w:sz w:val="32"/>
    </w:rPr>
  </w:style>
  <w:style w:type="paragraph" w:customStyle="1" w:styleId="43">
    <w:name w:val="柴_正文_无缩进"/>
    <w:basedOn w:val="1"/>
    <w:qFormat/>
    <w:uiPriority w:val="0"/>
    <w:pPr>
      <w:ind w:firstLine="0" w:firstLineChars="0"/>
    </w:pPr>
    <w:rPr>
      <w:rFonts w:ascii="Arial" w:hAnsi="Arial"/>
      <w:sz w:val="24"/>
      <w:lang w:eastAsia="zh-CN"/>
    </w:rPr>
  </w:style>
  <w:style w:type="paragraph" w:customStyle="1" w:styleId="44">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5">
    <w:name w:val="柴_正文 Char"/>
    <w:link w:val="31"/>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4858</Words>
  <Characters>5033</Characters>
  <Lines>0</Lines>
  <Paragraphs>0</Paragraphs>
  <TotalTime>0</TotalTime>
  <ScaleCrop>false</ScaleCrop>
  <LinksUpToDate>false</LinksUpToDate>
  <CharactersWithSpaces>5152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郝宇</cp:lastModifiedBy>
  <dcterms:modified xsi:type="dcterms:W3CDTF">2026-02-07T08:20:21Z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