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2611"/>
    </w:p>
    <w:p w14:paraId="24DE87D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bookmarkEnd w:id="0"/>
    <w:p w14:paraId="533CC9F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14435"/>
      <w:r>
        <w:rPr>
          <w:rFonts w:hint="eastAsia"/>
          <w:lang w:val="en-US" w:eastAsia="zh-CN"/>
        </w:rPr>
        <w:t>盐都区新能源汽车充电桩建设项目</w:t>
      </w:r>
      <w:bookmarkEnd w:id="1"/>
    </w:p>
    <w:p w14:paraId="710E483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2" w:name="_Toc9624"/>
      <w:r>
        <w:rPr>
          <w:rFonts w:hint="eastAsia"/>
          <w:lang w:val="en-US" w:eastAsia="zh-CN"/>
        </w:rPr>
        <w:t>容量管理计划</w:t>
      </w:r>
      <w:bookmarkEnd w:id="2"/>
    </w:p>
    <w:p w14:paraId="48E2BFF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7781"/>
      <w:bookmarkStart w:id="4" w:name="_Toc24186"/>
      <w:r>
        <w:t>中达丰集团有限公司</w:t>
      </w:r>
      <w:bookmarkEnd w:id="3"/>
      <w:bookmarkEnd w:id="4"/>
    </w:p>
    <w:p w14:paraId="3A273B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2B0249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CB7B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34052D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5" w:name="_Toc16271"/>
      <w:bookmarkStart w:id="6" w:name="_Toc10882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5"/>
      <w:bookmarkEnd w:id="6"/>
    </w:p>
    <w:p w14:paraId="24C8EC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容量管理计划</w:t>
            </w:r>
            <w:r>
              <w:rPr>
                <w:spacing w:val="-1"/>
              </w:rPr>
              <w:t>（ZDFJT-ITSS-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8A93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6E89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EC2B8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088E75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E658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3B0FC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47BCA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DF8E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0B46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715DCF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4811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1DE5BD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B79DCE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3B2B6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1DA1504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_Toc14435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盐都区新能源汽车充电桩建设项目</w:t>
          </w:r>
          <w:r>
            <w:tab/>
          </w:r>
          <w:r>
            <w:fldChar w:fldCharType="begin"/>
          </w:r>
          <w:r>
            <w:instrText xml:space="preserve"> PAGEREF _Toc14435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7ECA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容量管理计划</w:t>
          </w:r>
          <w:r>
            <w:tab/>
          </w:r>
          <w:r>
            <w:fldChar w:fldCharType="begin"/>
          </w:r>
          <w:r>
            <w:instrText xml:space="preserve"> PAGEREF _Toc9624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A0D9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_Toc24186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_Toc24186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C4C80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_Toc10882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_Toc10882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82247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计划概述</w:t>
          </w:r>
          <w:r>
            <w:tab/>
          </w:r>
          <w:r>
            <w:fldChar w:fldCharType="begin"/>
          </w:r>
          <w:r>
            <w:instrText xml:space="preserve"> PAGEREF _Toc14796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84176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管理目标</w:t>
          </w:r>
          <w:r>
            <w:tab/>
          </w:r>
          <w:r>
            <w:fldChar w:fldCharType="begin"/>
          </w:r>
          <w:r>
            <w:instrText xml:space="preserve"> PAGEREF _Toc27511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D132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组织架构与职责分工</w:t>
          </w:r>
          <w:r>
            <w:tab/>
          </w:r>
          <w:r>
            <w:fldChar w:fldCharType="begin"/>
          </w:r>
          <w:r>
            <w:instrText xml:space="preserve"> PAGEREF _Toc19152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0B69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容量管理内容</w:t>
          </w:r>
          <w:r>
            <w:tab/>
          </w:r>
          <w:r>
            <w:fldChar w:fldCharType="begin"/>
          </w:r>
          <w:r>
            <w:instrText xml:space="preserve"> PAGEREF _Toc22252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AD91E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人力资源容量</w:t>
          </w:r>
          <w:r>
            <w:tab/>
          </w:r>
          <w:r>
            <w:fldChar w:fldCharType="begin"/>
          </w:r>
          <w:r>
            <w:instrText xml:space="preserve"> PAGEREF _Toc24209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F65BD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设备与系统容量</w:t>
          </w:r>
          <w:r>
            <w:tab/>
          </w:r>
          <w:r>
            <w:fldChar w:fldCharType="begin"/>
          </w:r>
          <w:r>
            <w:instrText xml:space="preserve"> PAGEREF _Toc1129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6DC1C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技术支撑容量</w:t>
          </w:r>
          <w:r>
            <w:tab/>
          </w:r>
          <w:r>
            <w:fldChar w:fldCharType="begin"/>
          </w:r>
          <w:r>
            <w:instrText xml:space="preserve"> PAGEREF _Toc23163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F0AB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容量监控与评估机制</w:t>
          </w:r>
          <w:r>
            <w:tab/>
          </w:r>
          <w:r>
            <w:fldChar w:fldCharType="begin"/>
          </w:r>
          <w:r>
            <w:instrText xml:space="preserve"> PAGEREF _Toc18339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03623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应急扩容流程</w:t>
          </w:r>
          <w:r>
            <w:tab/>
          </w:r>
          <w:r>
            <w:fldChar w:fldCharType="begin"/>
          </w:r>
          <w:r>
            <w:instrText xml:space="preserve"> PAGEREF _Toc8069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8D607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触发条件</w:t>
          </w:r>
          <w:r>
            <w:tab/>
          </w:r>
          <w:r>
            <w:fldChar w:fldCharType="begin"/>
          </w:r>
          <w:r>
            <w:instrText xml:space="preserve"> PAGEREF _Toc12671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C5E97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响应机制</w:t>
          </w:r>
          <w:r>
            <w:tab/>
          </w:r>
          <w:r>
            <w:fldChar w:fldCharType="begin"/>
          </w:r>
          <w:r>
            <w:instrText xml:space="preserve"> PAGEREF _Toc1950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AE7F1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恢复时间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B8EB0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附件</w:t>
          </w:r>
          <w:r>
            <w:tab/>
          </w:r>
          <w:r>
            <w:fldChar w:fldCharType="begin"/>
          </w:r>
          <w:r>
            <w:instrText xml:space="preserve"> PAGEREF _Toc22404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2517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5D15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E9DF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D7EB36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796"/>
      <w:r>
        <w:rPr>
          <w:rFonts w:hint="default"/>
          <w:lang w:val="en-US" w:eastAsia="zh-CN"/>
        </w:rPr>
        <w:t>计划概述</w:t>
      </w:r>
      <w:bookmarkEnd w:id="7"/>
    </w:p>
    <w:p w14:paraId="5B3C59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依据《盐都区新能源汽车充电站建设项目合同》及公司《组织架构及职责说明》《岗位说明书》制定，旨在确保项目在建设与运维阶段具备充足的资源支持，保障充电设施的安全、稳定、高效运行，满足合同约定的技术标准与服务质量要求。</w:t>
      </w:r>
    </w:p>
    <w:p w14:paraId="01D22A8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511"/>
      <w:r>
        <w:rPr>
          <w:rFonts w:hint="default"/>
          <w:lang w:val="en-US" w:eastAsia="zh-CN"/>
        </w:rPr>
        <w:t>管理目标</w:t>
      </w:r>
      <w:bookmarkEnd w:id="8"/>
    </w:p>
    <w:p w14:paraId="715EFD6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资源匹配：确保项目各阶段（设计、采购、施工、调试、运维）的人员、设备、技术资源充足。</w:t>
      </w:r>
    </w:p>
    <w:p w14:paraId="2B6C53F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容量预测：基于项目规模（6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个充电车位）和系统配置，预测未来12个月的资源需求。</w:t>
      </w:r>
    </w:p>
    <w:p w14:paraId="766863C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动态调整：建立容量监控机制，根据项目进展和实际使用情况动态调整资源配置。</w:t>
      </w:r>
    </w:p>
    <w:p w14:paraId="2BF5027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应急响应：确保在突发高负荷或故障情况下，具备快速扩容与应急处理能力。</w:t>
      </w:r>
    </w:p>
    <w:p w14:paraId="3CA3FF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9152"/>
      <w:r>
        <w:rPr>
          <w:rFonts w:hint="default"/>
          <w:lang w:val="en-US" w:eastAsia="zh-CN"/>
        </w:rPr>
        <w:t>组织架构与职责分工</w:t>
      </w:r>
      <w:bookmarkEnd w:id="9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3720"/>
        <w:gridCol w:w="3644"/>
      </w:tblGrid>
      <w:tr w14:paraId="5ACD7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5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9199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部门</w:t>
            </w:r>
          </w:p>
        </w:tc>
        <w:tc>
          <w:tcPr>
            <w:tcW w:w="3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FC7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岗位</w:t>
            </w:r>
          </w:p>
        </w:tc>
        <w:tc>
          <w:tcPr>
            <w:tcW w:w="36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007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容量管理职责</w:t>
            </w:r>
          </w:p>
        </w:tc>
      </w:tr>
      <w:tr w14:paraId="7CF4A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F41E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副总经理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B5D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副总经理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4CD7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统筹项目整体资源调配，审批容量管理计划，协调跨部门资源支持</w:t>
            </w:r>
          </w:p>
        </w:tc>
      </w:tr>
      <w:tr w14:paraId="2D258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19AC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AA0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研发部经理、系统架构师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FA37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负责充电系统技术架构设计、软件容量评估与优化</w:t>
            </w:r>
          </w:p>
        </w:tc>
      </w:tr>
      <w:tr w14:paraId="4A577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77A9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11D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运维部经理、运维实施工程师、基础环境运维工程师、网络工程师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CE47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负责硬件设备、网络、电力等基础设施容量规划与监控</w:t>
            </w:r>
          </w:p>
        </w:tc>
      </w:tr>
      <w:tr w14:paraId="230CA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BD2E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采购部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F11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采购部经理、采购专员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3538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负责设备与物资采购计划，确保供应链资源匹配项目需求</w:t>
            </w:r>
          </w:p>
        </w:tc>
      </w:tr>
      <w:tr w14:paraId="1B6FD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7569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质量部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D84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质量部经理、质量管理专员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F492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负责容量管理过程的质量审核与合规性检查</w:t>
            </w:r>
          </w:p>
        </w:tc>
      </w:tr>
      <w:tr w14:paraId="264FE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5CB9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人力资源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A78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人力资源部经理、人事专员</w:t>
            </w:r>
          </w:p>
        </w:tc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2B34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负责人员招聘、培训与配置，确保项目团队能力与规模匹配</w:t>
            </w:r>
          </w:p>
        </w:tc>
      </w:tr>
    </w:tbl>
    <w:p w14:paraId="0DD07F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</w:p>
    <w:p w14:paraId="19A5E6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2252"/>
      <w:r>
        <w:rPr>
          <w:rFonts w:hint="default"/>
          <w:lang w:val="en-US" w:eastAsia="zh-CN"/>
        </w:rPr>
        <w:t>容量管理内容</w:t>
      </w:r>
      <w:bookmarkEnd w:id="10"/>
    </w:p>
    <w:p w14:paraId="17DBDA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209"/>
      <w:r>
        <w:rPr>
          <w:rFonts w:hint="default"/>
          <w:lang w:val="en-US" w:eastAsia="zh-CN"/>
        </w:rPr>
        <w:t>人力资源容量</w:t>
      </w:r>
      <w:bookmarkEnd w:id="11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3277"/>
        <w:gridCol w:w="714"/>
        <w:gridCol w:w="1610"/>
        <w:gridCol w:w="1312"/>
      </w:tblGrid>
      <w:tr w14:paraId="72E0F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283A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32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704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所需岗位</w:t>
            </w:r>
          </w:p>
        </w:tc>
        <w:tc>
          <w:tcPr>
            <w:tcW w:w="7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E80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16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910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时间节点</w:t>
            </w:r>
          </w:p>
        </w:tc>
        <w:tc>
          <w:tcPr>
            <w:tcW w:w="13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C7C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</w:tr>
      <w:tr w14:paraId="3CB3F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55D3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设计阶段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A1B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需求工程师、系统架构师、UI设计师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B0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4人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8A7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2025年4月—6月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B101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</w:t>
            </w:r>
          </w:p>
        </w:tc>
      </w:tr>
      <w:tr w14:paraId="5127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E71B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采购与施工阶段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80C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运维项目经理、运维实施工程师、采购专员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987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6人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538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2025年7月—12月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E953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运维部、采购部</w:t>
            </w:r>
          </w:p>
        </w:tc>
      </w:tr>
      <w:tr w14:paraId="178F1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298D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调试与试运行阶段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03A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软件运维工程师、技术支持工程师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43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5人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289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2026年1月—2月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ECBD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</w:t>
            </w:r>
          </w:p>
        </w:tc>
      </w:tr>
      <w:tr w14:paraId="7783A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EB1D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运维阶段（质保期）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5A1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服务台客服、备件库管理专员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689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3人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196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2026年3月起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27BE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</w:t>
            </w:r>
          </w:p>
        </w:tc>
      </w:tr>
    </w:tbl>
    <w:p w14:paraId="5E9A9E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129"/>
      <w:r>
        <w:rPr>
          <w:rFonts w:hint="default"/>
          <w:lang w:val="en-US" w:eastAsia="zh-CN"/>
        </w:rPr>
        <w:t>设备与系统容量</w:t>
      </w:r>
      <w:bookmarkEnd w:id="12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4164"/>
        <w:gridCol w:w="2121"/>
        <w:gridCol w:w="1247"/>
      </w:tblGrid>
      <w:tr w14:paraId="55FE5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4177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系统类别</w:t>
            </w:r>
          </w:p>
        </w:tc>
        <w:tc>
          <w:tcPr>
            <w:tcW w:w="4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57F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配置标准</w:t>
            </w:r>
          </w:p>
        </w:tc>
        <w:tc>
          <w:tcPr>
            <w:tcW w:w="2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A1A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监控指标</w:t>
            </w:r>
          </w:p>
        </w:tc>
        <w:tc>
          <w:tcPr>
            <w:tcW w:w="12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A66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责任岗位</w:t>
            </w:r>
          </w:p>
        </w:tc>
      </w:tr>
      <w:tr w14:paraId="63FD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B304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充电设备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6C4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120kW直流双枪×244、360kW直流双枪×19、200kW充电堆×5、480kW充电堆×4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BF9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使用率、故障率、响应时间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AF3B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基础环境运维工程师</w:t>
            </w:r>
          </w:p>
        </w:tc>
      </w:tr>
      <w:tr w14:paraId="7C999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1D9C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电力系统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CED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满足616个车位同时充电峰值负荷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FB8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负载率、电压稳定性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25BB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基础环境运维工程师</w:t>
            </w:r>
          </w:p>
        </w:tc>
      </w:tr>
      <w:tr w14:paraId="3F847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BB61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网络与监控系统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E8C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支持远程监控、数据传输、移动端管理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0CF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带宽使用率、数据延迟、系统可用性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65DE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网络工程师</w:t>
            </w:r>
          </w:p>
        </w:tc>
      </w:tr>
      <w:tr w14:paraId="4BAE0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E834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软件系统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8E9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支持用户认证、支付、数据分析、故障告警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8A9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并发用户数、响应时间、存储容量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1ABA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</w:p>
        </w:tc>
      </w:tr>
    </w:tbl>
    <w:p w14:paraId="5C0362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3163"/>
      <w:r>
        <w:rPr>
          <w:rFonts w:hint="default"/>
          <w:lang w:val="en-US" w:eastAsia="zh-CN"/>
        </w:rPr>
        <w:t>技术支撑容量</w:t>
      </w:r>
      <w:bookmarkEnd w:id="13"/>
    </w:p>
    <w:p w14:paraId="06D127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研发部：定期评估系统架构是否支持未来用户增长，提出扩容建议。</w:t>
      </w:r>
    </w:p>
    <w:p w14:paraId="0A16F3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运维部：建立设备健康档案，预测设备寿命与更换周期。</w:t>
      </w:r>
    </w:p>
    <w:p w14:paraId="3AF837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质量部：审核容量管理记录的完整性与合规性。</w:t>
      </w:r>
    </w:p>
    <w:p w14:paraId="637005D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8339"/>
      <w:r>
        <w:rPr>
          <w:rFonts w:hint="default"/>
          <w:lang w:val="en-US" w:eastAsia="zh-CN"/>
        </w:rPr>
        <w:t>容量监控与评估机制</w:t>
      </w:r>
      <w:bookmarkEnd w:id="1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3417"/>
        <w:gridCol w:w="2674"/>
        <w:gridCol w:w="1449"/>
      </w:tblGrid>
      <w:tr w14:paraId="3248C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1568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监控周期</w:t>
            </w:r>
          </w:p>
        </w:tc>
        <w:tc>
          <w:tcPr>
            <w:tcW w:w="34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805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监控内容</w:t>
            </w:r>
          </w:p>
        </w:tc>
        <w:tc>
          <w:tcPr>
            <w:tcW w:w="26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A43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评估标准</w:t>
            </w:r>
          </w:p>
        </w:tc>
        <w:tc>
          <w:tcPr>
            <w:tcW w:w="14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90C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责任岗位</w:t>
            </w:r>
          </w:p>
        </w:tc>
      </w:tr>
      <w:tr w14:paraId="39C75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A442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月度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0C4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设备使用率、系统响应时间、人员负荷</w:t>
            </w:r>
          </w:p>
        </w:tc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B67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使用率≤85%，响应时间≤2秒</w:t>
            </w: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FB10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</w:tr>
      <w:tr w14:paraId="69CE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48B4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季度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E78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系统并发用户数、存储增长趋势</w:t>
            </w:r>
          </w:p>
        </w:tc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448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存储余量≥30%</w:t>
            </w: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B131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</w:p>
        </w:tc>
      </w:tr>
      <w:tr w14:paraId="45106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9EB7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半年度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0F7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整体资源使用趋势、容量缺口预测</w:t>
            </w:r>
          </w:p>
        </w:tc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FEA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符合项目进展与合同约定</w:t>
            </w: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B4DE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</w:t>
            </w:r>
          </w:p>
        </w:tc>
      </w:tr>
      <w:tr w14:paraId="0C869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48B5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年度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9E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年度容量总结与下一年度规划</w:t>
            </w:r>
          </w:p>
        </w:tc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F12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资源充足率≥95%</w:t>
            </w:r>
          </w:p>
        </w:tc>
        <w:tc>
          <w:tcPr>
            <w:tcW w:w="14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9B6C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副总经理</w:t>
            </w:r>
          </w:p>
        </w:tc>
      </w:tr>
    </w:tbl>
    <w:p w14:paraId="235D13B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8069"/>
      <w:r>
        <w:rPr>
          <w:rFonts w:hint="default"/>
          <w:lang w:val="en-US" w:eastAsia="zh-CN"/>
        </w:rPr>
        <w:t>应急扩容流程</w:t>
      </w:r>
      <w:bookmarkEnd w:id="15"/>
    </w:p>
    <w:p w14:paraId="65F11F00">
      <w:pPr>
        <w:pStyle w:val="30"/>
        <w:bidi w:val="0"/>
        <w:rPr>
          <w:rFonts w:hint="default"/>
          <w:lang w:val="en-US" w:eastAsia="zh-CN"/>
        </w:rPr>
      </w:pPr>
      <w:bookmarkStart w:id="16" w:name="_Toc12671"/>
      <w:r>
        <w:rPr>
          <w:rFonts w:hint="default"/>
          <w:lang w:val="en-US" w:eastAsia="zh-CN"/>
        </w:rPr>
        <w:t>触发条件</w:t>
      </w:r>
      <w:bookmarkEnd w:id="16"/>
    </w:p>
    <w:p w14:paraId="2920576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系统使用率持续≥90%或突发故障影响服务。</w:t>
      </w:r>
    </w:p>
    <w:p w14:paraId="1F5571C0">
      <w:pPr>
        <w:pStyle w:val="30"/>
        <w:bidi w:val="0"/>
        <w:rPr>
          <w:rFonts w:hint="default"/>
          <w:lang w:val="en-US" w:eastAsia="zh-CN"/>
        </w:rPr>
      </w:pPr>
      <w:bookmarkStart w:id="17" w:name="_Toc1950"/>
      <w:r>
        <w:rPr>
          <w:rFonts w:hint="default"/>
          <w:lang w:val="en-US" w:eastAsia="zh-CN"/>
        </w:rPr>
        <w:t>响应机制</w:t>
      </w:r>
      <w:bookmarkEnd w:id="17"/>
    </w:p>
    <w:p w14:paraId="3785FB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服务台接收告警，通知运维部经理；</w:t>
      </w:r>
    </w:p>
    <w:p w14:paraId="06669D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运维部启动应急预案，协调备件库、网络工程师、软件工程师；</w:t>
      </w:r>
    </w:p>
    <w:p w14:paraId="61BD4D8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采购部启动紧急采购流程（如必要）；</w:t>
      </w:r>
    </w:p>
    <w:p w14:paraId="224CA43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质量部记录事件并评估处理效果。</w:t>
      </w:r>
    </w:p>
    <w:p w14:paraId="73D90D0B">
      <w:pPr>
        <w:pStyle w:val="30"/>
        <w:bidi w:val="0"/>
        <w:rPr>
          <w:rFonts w:hint="default"/>
          <w:lang w:val="en-US" w:eastAsia="zh-CN"/>
        </w:rPr>
      </w:pPr>
      <w:bookmarkStart w:id="18" w:name="_Toc5711"/>
      <w:r>
        <w:rPr>
          <w:rFonts w:hint="default"/>
          <w:lang w:val="en-US" w:eastAsia="zh-CN"/>
        </w:rPr>
        <w:t>恢复时间</w:t>
      </w:r>
      <w:bookmarkEnd w:id="18"/>
    </w:p>
    <w:p w14:paraId="7E18B0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一般故障：4小时内；</w:t>
      </w:r>
    </w:p>
    <w:p w14:paraId="254E49B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重大故障：12小时内。</w:t>
      </w:r>
    </w:p>
    <w:p w14:paraId="22F3F4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2404"/>
      <w:r>
        <w:rPr>
          <w:rFonts w:hint="default"/>
          <w:lang w:val="en-US" w:eastAsia="zh-CN"/>
        </w:rPr>
        <w:t>附件</w:t>
      </w:r>
      <w:bookmarkEnd w:id="19"/>
    </w:p>
    <w:p w14:paraId="416E106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项目容量监控记录表（模板）</w:t>
      </w:r>
    </w:p>
    <w:p w14:paraId="7A96424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应急扩容预案（详细流程）</w:t>
      </w:r>
    </w:p>
    <w:p w14:paraId="194B737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设备清单与容量参数对照表</w:t>
      </w:r>
    </w:p>
    <w:p w14:paraId="35127D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z w:val="21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7D5A5CF"/>
    <w:multiLevelType w:val="singleLevel"/>
    <w:tmpl w:val="37D5A5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91910"/>
    <w:rsid w:val="08AA44F4"/>
    <w:rsid w:val="0FE443F8"/>
    <w:rsid w:val="12064188"/>
    <w:rsid w:val="12C27C3B"/>
    <w:rsid w:val="12E44CE8"/>
    <w:rsid w:val="1D64304A"/>
    <w:rsid w:val="1F4849A4"/>
    <w:rsid w:val="22611685"/>
    <w:rsid w:val="24D171E9"/>
    <w:rsid w:val="29C830FC"/>
    <w:rsid w:val="2B1E0CAF"/>
    <w:rsid w:val="30F73B34"/>
    <w:rsid w:val="38F848ED"/>
    <w:rsid w:val="3A08534A"/>
    <w:rsid w:val="3DC92CFC"/>
    <w:rsid w:val="4225102D"/>
    <w:rsid w:val="49EB5DA8"/>
    <w:rsid w:val="4A5B1180"/>
    <w:rsid w:val="4A6F0787"/>
    <w:rsid w:val="4C2725D5"/>
    <w:rsid w:val="4C475FD9"/>
    <w:rsid w:val="543D5452"/>
    <w:rsid w:val="69070C28"/>
    <w:rsid w:val="69AE2C22"/>
    <w:rsid w:val="75846F2D"/>
    <w:rsid w:val="77297D8C"/>
    <w:rsid w:val="7CAC1243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951</Words>
  <Characters>1089</Characters>
  <Lines>0</Lines>
  <Paragraphs>0</Paragraphs>
  <TotalTime>0</TotalTime>
  <ScaleCrop>false</ScaleCrop>
  <LinksUpToDate>false</LinksUpToDate>
  <CharactersWithSpaces>1145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2026-02-07T15:25:27Z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