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6FBC6E">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0" w:name="_Toc22611"/>
      <w:bookmarkStart w:id="15" w:name="_GoBack"/>
    </w:p>
    <w:p w14:paraId="24DE87D2">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p>
    <w:bookmarkEnd w:id="0"/>
    <w:p w14:paraId="533CC9FA">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 w:name="_Toc28572"/>
      <w:r>
        <w:rPr>
          <w:rFonts w:hint="eastAsia"/>
          <w:lang w:val="en-US" w:eastAsia="zh-CN"/>
        </w:rPr>
        <w:t>盐都区新能源汽车充电桩建设项目</w:t>
      </w:r>
      <w:bookmarkEnd w:id="1"/>
    </w:p>
    <w:p w14:paraId="710E483F">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bookmarkStart w:id="2" w:name="_Toc16715"/>
      <w:r>
        <w:rPr>
          <w:rFonts w:hint="eastAsia"/>
          <w:lang w:val="en-US" w:eastAsia="zh-CN"/>
        </w:rPr>
        <w:t>服务可用性和连续性管理计划</w:t>
      </w:r>
      <w:bookmarkEnd w:id="2"/>
    </w:p>
    <w:p w14:paraId="48E2BFFE">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17781"/>
      <w:bookmarkStart w:id="4" w:name="_Toc23557"/>
      <w:r>
        <w:t>中达丰集团有限公司</w:t>
      </w:r>
      <w:bookmarkEnd w:id="3"/>
      <w:bookmarkEnd w:id="4"/>
    </w:p>
    <w:p w14:paraId="3A273BA1">
      <w:pPr>
        <w:keepNext w:val="0"/>
        <w:keepLines w:val="0"/>
        <w:pageBreakBefore w:val="0"/>
        <w:widowControl w:val="0"/>
        <w:kinsoku w:val="0"/>
        <w:wordWrap/>
        <w:overflowPunct/>
        <w:topLinePunct w:val="0"/>
        <w:autoSpaceDE w:val="0"/>
        <w:autoSpaceDN w:val="0"/>
        <w:bidi w:val="0"/>
        <w:adjustRightInd w:val="0"/>
        <w:snapToGrid w:val="0"/>
        <w:spacing w:before="275"/>
        <w:jc w:val="center"/>
        <w:textAlignment w:val="baseline"/>
        <w:rPr>
          <w:rFonts w:hint="default" w:ascii="宋体" w:hAnsi="宋体" w:eastAsia="宋体" w:cs="宋体"/>
          <w:sz w:val="36"/>
          <w:szCs w:val="36"/>
          <w:lang w:val="en-US" w:eastAsia="zh-CN"/>
        </w:rPr>
      </w:pPr>
      <w:r>
        <w:rPr>
          <w:rFonts w:ascii="宋体" w:hAnsi="宋体" w:eastAsia="宋体" w:cs="宋体"/>
          <w:spacing w:val="-2"/>
          <w:sz w:val="36"/>
          <w:szCs w:val="36"/>
        </w:rPr>
        <w:t>202</w:t>
      </w:r>
      <w:r>
        <w:rPr>
          <w:rFonts w:hint="eastAsia" w:ascii="宋体" w:hAnsi="宋体" w:cs="宋体"/>
          <w:spacing w:val="-2"/>
          <w:sz w:val="36"/>
          <w:szCs w:val="36"/>
          <w:lang w:val="en-US" w:eastAsia="zh-CN"/>
        </w:rPr>
        <w:t>5</w:t>
      </w:r>
      <w:r>
        <w:rPr>
          <w:rFonts w:ascii="宋体" w:hAnsi="宋体" w:eastAsia="宋体" w:cs="宋体"/>
          <w:spacing w:val="-2"/>
          <w:sz w:val="36"/>
          <w:szCs w:val="36"/>
        </w:rPr>
        <w:t>-0</w:t>
      </w:r>
      <w:r>
        <w:rPr>
          <w:rFonts w:hint="eastAsia" w:ascii="宋体" w:hAnsi="宋体" w:cs="宋体"/>
          <w:spacing w:val="-2"/>
          <w:sz w:val="36"/>
          <w:szCs w:val="36"/>
          <w:lang w:val="en-US" w:eastAsia="zh-CN"/>
        </w:rPr>
        <w:t>4</w:t>
      </w:r>
      <w:r>
        <w:rPr>
          <w:rFonts w:ascii="宋体" w:hAnsi="宋体" w:eastAsia="宋体" w:cs="宋体"/>
          <w:spacing w:val="-2"/>
          <w:sz w:val="36"/>
          <w:szCs w:val="36"/>
        </w:rPr>
        <w:t>-</w:t>
      </w:r>
      <w:r>
        <w:rPr>
          <w:rFonts w:hint="eastAsia" w:ascii="宋体" w:hAnsi="宋体" w:cs="宋体"/>
          <w:spacing w:val="-2"/>
          <w:sz w:val="36"/>
          <w:szCs w:val="36"/>
          <w:lang w:val="en-US" w:eastAsia="zh-CN"/>
        </w:rPr>
        <w:t>20</w:t>
      </w:r>
    </w:p>
    <w:p w14:paraId="2B02492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z w:val="36"/>
          <w:szCs w:val="36"/>
        </w:rPr>
        <w:sectPr>
          <w:pgSz w:w="11906" w:h="16839"/>
          <w:pgMar w:top="1431" w:right="1785" w:bottom="0" w:left="1785" w:header="0" w:footer="0" w:gutter="0"/>
          <w:cols w:space="720" w:num="1"/>
        </w:sectPr>
      </w:pPr>
    </w:p>
    <w:p w14:paraId="2CB7B259">
      <w:pPr>
        <w:pStyle w:val="12"/>
        <w:keepNext w:val="0"/>
        <w:keepLines w:val="0"/>
        <w:pageBreakBefore w:val="0"/>
        <w:widowControl w:val="0"/>
        <w:kinsoku w:val="0"/>
        <w:wordWrap/>
        <w:overflowPunct/>
        <w:topLinePunct w:val="0"/>
        <w:autoSpaceDE w:val="0"/>
        <w:autoSpaceDN w:val="0"/>
        <w:bidi w:val="0"/>
        <w:adjustRightInd w:val="0"/>
        <w:snapToGrid w:val="0"/>
        <w:spacing w:line="258" w:lineRule="auto"/>
        <w:textAlignment w:val="baseline"/>
      </w:pPr>
    </w:p>
    <w:p w14:paraId="34052D52">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954"/>
        <w:textAlignment w:val="baseline"/>
        <w:outlineLvl w:val="0"/>
        <w:rPr>
          <w:rFonts w:ascii="宋体" w:hAnsi="宋体" w:eastAsia="宋体" w:cs="宋体"/>
          <w:sz w:val="21"/>
          <w:szCs w:val="21"/>
        </w:rPr>
      </w:pPr>
      <w:bookmarkStart w:id="5" w:name="_Toc16271"/>
      <w:bookmarkStart w:id="6" w:name="_Toc434"/>
      <w:r>
        <w:rPr>
          <w:rFonts w:ascii="宋体" w:hAnsi="宋体" w:eastAsia="宋体" w:cs="宋体"/>
          <w:spacing w:val="-2"/>
          <w:sz w:val="21"/>
          <w:szCs w:val="21"/>
        </w:rPr>
        <w:t>文档信息</w:t>
      </w:r>
      <w:bookmarkEnd w:id="5"/>
      <w:bookmarkEnd w:id="6"/>
    </w:p>
    <w:p w14:paraId="24C8EC57">
      <w:pPr>
        <w:keepNext w:val="0"/>
        <w:keepLines w:val="0"/>
        <w:pageBreakBefore w:val="0"/>
        <w:widowControl w:val="0"/>
        <w:kinsoku w:val="0"/>
        <w:wordWrap/>
        <w:overflowPunct/>
        <w:topLinePunct w:val="0"/>
        <w:autoSpaceDE w:val="0"/>
        <w:autoSpaceDN w:val="0"/>
        <w:bidi w:val="0"/>
        <w:adjustRightInd w:val="0"/>
        <w:snapToGrid w:val="0"/>
        <w:spacing w:line="16" w:lineRule="exact"/>
        <w:textAlignment w:val="baseline"/>
      </w:pPr>
    </w:p>
    <w:tbl>
      <w:tblPr>
        <w:tblStyle w:val="24"/>
        <w:tblW w:w="9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5"/>
        <w:gridCol w:w="2302"/>
        <w:gridCol w:w="1557"/>
        <w:gridCol w:w="1953"/>
      </w:tblGrid>
      <w:tr w14:paraId="10020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64797106">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25"/>
              <w:textAlignment w:val="baseline"/>
            </w:pPr>
            <w:r>
              <w:rPr>
                <w:spacing w:val="-2"/>
              </w:rPr>
              <w:t>文档名称编号</w:t>
            </w:r>
          </w:p>
        </w:tc>
        <w:tc>
          <w:tcPr>
            <w:tcW w:w="7367" w:type="dxa"/>
            <w:gridSpan w:val="4"/>
          </w:tcPr>
          <w:p w14:paraId="6ECFAD65">
            <w:pPr>
              <w:pStyle w:val="25"/>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textAlignment w:val="baseline"/>
            </w:pPr>
            <w:r>
              <w:rPr>
                <w:rFonts w:hint="eastAsia"/>
                <w:spacing w:val="-1"/>
                <w:lang w:val="en-US" w:eastAsia="zh-CN"/>
              </w:rPr>
              <w:t>容量管理计划</w:t>
            </w:r>
            <w:r>
              <w:rPr>
                <w:spacing w:val="-1"/>
              </w:rPr>
              <w:t>（ZDFJT-ITSS-</w:t>
            </w:r>
            <w:r>
              <w:rPr>
                <w:rFonts w:hint="eastAsia" w:eastAsia="宋体"/>
                <w:spacing w:val="-1"/>
                <w:lang w:val="en-US" w:eastAsia="zh-CN"/>
              </w:rPr>
              <w:t>GCKJSJ</w:t>
            </w:r>
            <w:r>
              <w:rPr>
                <w:rFonts w:hint="eastAsia"/>
                <w:spacing w:val="-1"/>
                <w:lang w:val="en-US" w:eastAsia="zh-CN"/>
              </w:rPr>
              <w:t>T</w:t>
            </w:r>
            <w:r>
              <w:rPr>
                <w:spacing w:val="-1"/>
              </w:rPr>
              <w:t>）</w:t>
            </w:r>
          </w:p>
        </w:tc>
      </w:tr>
      <w:tr w14:paraId="440EA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2B8A932D">
            <w:pPr>
              <w:pStyle w:val="25"/>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435"/>
              <w:textAlignment w:val="baseline"/>
            </w:pPr>
            <w:r>
              <w:rPr>
                <w:spacing w:val="-2"/>
              </w:rPr>
              <w:t>编制单位</w:t>
            </w:r>
          </w:p>
        </w:tc>
        <w:tc>
          <w:tcPr>
            <w:tcW w:w="7367" w:type="dxa"/>
            <w:gridSpan w:val="4"/>
          </w:tcPr>
          <w:p w14:paraId="6C6E8964">
            <w:pPr>
              <w:pStyle w:val="25"/>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pPr>
            <w:r>
              <w:rPr>
                <w:spacing w:val="-1"/>
              </w:rPr>
              <w:t>中达丰集团有限公司</w:t>
            </w:r>
          </w:p>
        </w:tc>
      </w:tr>
      <w:tr w14:paraId="751E0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4EC2B850">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435"/>
              <w:textAlignment w:val="baseline"/>
            </w:pPr>
            <w:r>
              <w:rPr>
                <w:spacing w:val="-2"/>
              </w:rPr>
              <w:t>文档版本</w:t>
            </w:r>
          </w:p>
        </w:tc>
        <w:tc>
          <w:tcPr>
            <w:tcW w:w="1555" w:type="dxa"/>
          </w:tcPr>
          <w:p w14:paraId="088E754B">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359"/>
              <w:textAlignment w:val="baseline"/>
            </w:pPr>
            <w:r>
              <w:rPr>
                <w:spacing w:val="-2"/>
              </w:rPr>
              <w:t>版本日期</w:t>
            </w:r>
          </w:p>
        </w:tc>
        <w:tc>
          <w:tcPr>
            <w:tcW w:w="2302" w:type="dxa"/>
          </w:tcPr>
          <w:p w14:paraId="5E658742">
            <w:pPr>
              <w:pStyle w:val="25"/>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pPr>
            <w:r>
              <w:rPr>
                <w:spacing w:val="-2"/>
              </w:rPr>
              <w:t>版本说明</w:t>
            </w:r>
          </w:p>
        </w:tc>
        <w:tc>
          <w:tcPr>
            <w:tcW w:w="1557" w:type="dxa"/>
          </w:tcPr>
          <w:p w14:paraId="03B0FC20">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pPr>
            <w:r>
              <w:rPr>
                <w:spacing w:val="-3"/>
              </w:rPr>
              <w:t>作者</w:t>
            </w:r>
          </w:p>
        </w:tc>
        <w:tc>
          <w:tcPr>
            <w:tcW w:w="1953" w:type="dxa"/>
          </w:tcPr>
          <w:p w14:paraId="547BCAC6">
            <w:pPr>
              <w:pStyle w:val="25"/>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pPr>
            <w:r>
              <w:rPr>
                <w:spacing w:val="-5"/>
              </w:rPr>
              <w:t>审核</w:t>
            </w:r>
          </w:p>
        </w:tc>
      </w:tr>
      <w:tr w14:paraId="718D9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7FDF8E58">
            <w:pPr>
              <w:pStyle w:val="25"/>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638"/>
              <w:textAlignment w:val="baseline"/>
            </w:pPr>
            <w:r>
              <w:rPr>
                <w:spacing w:val="-1"/>
              </w:rPr>
              <w:t>V1.0</w:t>
            </w:r>
          </w:p>
        </w:tc>
        <w:tc>
          <w:tcPr>
            <w:tcW w:w="1555" w:type="dxa"/>
          </w:tcPr>
          <w:p w14:paraId="60B46409">
            <w:pPr>
              <w:pStyle w:val="25"/>
              <w:keepNext w:val="0"/>
              <w:keepLines w:val="0"/>
              <w:pageBreakBefore w:val="0"/>
              <w:widowControl w:val="0"/>
              <w:kinsoku w:val="0"/>
              <w:wordWrap/>
              <w:overflowPunct/>
              <w:topLinePunct w:val="0"/>
              <w:autoSpaceDE w:val="0"/>
              <w:autoSpaceDN w:val="0"/>
              <w:bidi w:val="0"/>
              <w:adjustRightInd w:val="0"/>
              <w:snapToGrid w:val="0"/>
              <w:spacing w:before="163"/>
              <w:ind w:left="361"/>
              <w:textAlignment w:val="baseline"/>
              <w:rPr>
                <w:rFonts w:hint="default" w:eastAsia="宋体"/>
                <w:lang w:val="en-US" w:eastAsia="zh-CN"/>
              </w:rPr>
            </w:pPr>
            <w:r>
              <w:rPr>
                <w:spacing w:val="-2"/>
              </w:rPr>
              <w:t>20</w:t>
            </w:r>
            <w:r>
              <w:rPr>
                <w:rFonts w:hint="eastAsia" w:eastAsia="宋体"/>
                <w:spacing w:val="-2"/>
                <w:lang w:val="en-US" w:eastAsia="zh-CN"/>
              </w:rPr>
              <w:t>25</w:t>
            </w:r>
            <w:r>
              <w:rPr>
                <w:spacing w:val="-2"/>
              </w:rPr>
              <w:t>-</w:t>
            </w:r>
            <w:r>
              <w:rPr>
                <w:rFonts w:hint="eastAsia"/>
                <w:spacing w:val="-2"/>
                <w:lang w:val="en-US" w:eastAsia="zh-CN"/>
              </w:rPr>
              <w:t>4</w:t>
            </w:r>
            <w:r>
              <w:rPr>
                <w:spacing w:val="-2"/>
              </w:rPr>
              <w:t>-</w:t>
            </w:r>
            <w:r>
              <w:rPr>
                <w:rFonts w:hint="eastAsia" w:eastAsia="宋体"/>
                <w:spacing w:val="-2"/>
                <w:lang w:val="en-US" w:eastAsia="zh-CN"/>
              </w:rPr>
              <w:t>20</w:t>
            </w:r>
          </w:p>
        </w:tc>
        <w:tc>
          <w:tcPr>
            <w:tcW w:w="2302" w:type="dxa"/>
          </w:tcPr>
          <w:p w14:paraId="715DCFB2">
            <w:pPr>
              <w:pStyle w:val="25"/>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738"/>
              <w:textAlignment w:val="baseline"/>
            </w:pPr>
            <w:r>
              <w:rPr>
                <w:spacing w:val="-3"/>
              </w:rPr>
              <w:t>发布版本</w:t>
            </w:r>
          </w:p>
        </w:tc>
        <w:tc>
          <w:tcPr>
            <w:tcW w:w="1557" w:type="dxa"/>
          </w:tcPr>
          <w:p w14:paraId="52481118">
            <w:pPr>
              <w:pStyle w:val="25"/>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480"/>
              <w:textAlignment w:val="baseline"/>
              <w:rPr>
                <w:rFonts w:hint="eastAsia" w:eastAsia="宋体"/>
                <w:lang w:val="en-US" w:eastAsia="zh-CN"/>
              </w:rPr>
            </w:pPr>
            <w:r>
              <w:rPr>
                <w:rFonts w:hint="eastAsia" w:ascii="宋体" w:hAnsi="宋体" w:eastAsia="宋体" w:cs="宋体"/>
                <w:sz w:val="21"/>
                <w:szCs w:val="21"/>
                <w:lang w:val="en-US" w:eastAsia="zh-CN"/>
              </w:rPr>
              <w:t>肖龙莽</w:t>
            </w:r>
          </w:p>
        </w:tc>
        <w:tc>
          <w:tcPr>
            <w:tcW w:w="1953" w:type="dxa"/>
          </w:tcPr>
          <w:p w14:paraId="1DE5BD9A">
            <w:pPr>
              <w:pStyle w:val="25"/>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672"/>
              <w:textAlignment w:val="baseline"/>
            </w:pPr>
            <w:r>
              <w:rPr>
                <w:spacing w:val="-3"/>
              </w:rPr>
              <w:t>吴向阳</w:t>
            </w:r>
          </w:p>
        </w:tc>
      </w:tr>
      <w:tr w14:paraId="01B04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011645A">
            <w:pPr>
              <w:pStyle w:val="25"/>
              <w:keepNext w:val="0"/>
              <w:keepLines w:val="0"/>
              <w:pageBreakBefore w:val="0"/>
              <w:widowControl w:val="0"/>
              <w:kinsoku w:val="0"/>
              <w:wordWrap/>
              <w:overflowPunct/>
              <w:topLinePunct w:val="0"/>
              <w:autoSpaceDE w:val="0"/>
              <w:autoSpaceDN w:val="0"/>
              <w:bidi w:val="0"/>
              <w:adjustRightInd w:val="0"/>
              <w:snapToGrid w:val="0"/>
              <w:spacing w:before="164" w:line="239" w:lineRule="auto"/>
              <w:ind w:left="638"/>
              <w:textAlignment w:val="baseline"/>
            </w:pPr>
          </w:p>
        </w:tc>
        <w:tc>
          <w:tcPr>
            <w:tcW w:w="1555" w:type="dxa"/>
          </w:tcPr>
          <w:p w14:paraId="4BA63D86">
            <w:pPr>
              <w:pStyle w:val="25"/>
              <w:keepNext w:val="0"/>
              <w:keepLines w:val="0"/>
              <w:pageBreakBefore w:val="0"/>
              <w:widowControl w:val="0"/>
              <w:kinsoku w:val="0"/>
              <w:wordWrap/>
              <w:overflowPunct/>
              <w:topLinePunct w:val="0"/>
              <w:autoSpaceDE w:val="0"/>
              <w:autoSpaceDN w:val="0"/>
              <w:bidi w:val="0"/>
              <w:adjustRightInd w:val="0"/>
              <w:snapToGrid w:val="0"/>
              <w:spacing w:before="164"/>
              <w:ind w:left="361"/>
              <w:textAlignment w:val="baseline"/>
            </w:pPr>
          </w:p>
        </w:tc>
        <w:tc>
          <w:tcPr>
            <w:tcW w:w="2302" w:type="dxa"/>
          </w:tcPr>
          <w:p w14:paraId="0241F87E">
            <w:pPr>
              <w:pStyle w:val="25"/>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737"/>
              <w:textAlignment w:val="baseline"/>
            </w:pPr>
          </w:p>
        </w:tc>
        <w:tc>
          <w:tcPr>
            <w:tcW w:w="1557" w:type="dxa"/>
          </w:tcPr>
          <w:p w14:paraId="279986C4">
            <w:pPr>
              <w:pStyle w:val="25"/>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480"/>
              <w:textAlignment w:val="baseline"/>
            </w:pPr>
          </w:p>
        </w:tc>
        <w:tc>
          <w:tcPr>
            <w:tcW w:w="1953" w:type="dxa"/>
          </w:tcPr>
          <w:p w14:paraId="256A2BC7">
            <w:pPr>
              <w:pStyle w:val="25"/>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2"/>
              <w:textAlignment w:val="baseline"/>
            </w:pPr>
          </w:p>
        </w:tc>
      </w:tr>
      <w:tr w14:paraId="7EBC0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B7F9086">
            <w:pPr>
              <w:pStyle w:val="25"/>
              <w:keepNext w:val="0"/>
              <w:keepLines w:val="0"/>
              <w:pageBreakBefore w:val="0"/>
              <w:widowControl w:val="0"/>
              <w:kinsoku w:val="0"/>
              <w:wordWrap/>
              <w:overflowPunct/>
              <w:topLinePunct w:val="0"/>
              <w:autoSpaceDE w:val="0"/>
              <w:autoSpaceDN w:val="0"/>
              <w:bidi w:val="0"/>
              <w:adjustRightInd w:val="0"/>
              <w:snapToGrid w:val="0"/>
              <w:spacing w:before="165" w:line="239" w:lineRule="auto"/>
              <w:ind w:left="638"/>
              <w:textAlignment w:val="baseline"/>
            </w:pPr>
          </w:p>
        </w:tc>
        <w:tc>
          <w:tcPr>
            <w:tcW w:w="1555" w:type="dxa"/>
          </w:tcPr>
          <w:p w14:paraId="58C71DAB">
            <w:pPr>
              <w:pStyle w:val="25"/>
              <w:keepNext w:val="0"/>
              <w:keepLines w:val="0"/>
              <w:pageBreakBefore w:val="0"/>
              <w:widowControl w:val="0"/>
              <w:kinsoku w:val="0"/>
              <w:wordWrap/>
              <w:overflowPunct/>
              <w:topLinePunct w:val="0"/>
              <w:autoSpaceDE w:val="0"/>
              <w:autoSpaceDN w:val="0"/>
              <w:bidi w:val="0"/>
              <w:adjustRightInd w:val="0"/>
              <w:snapToGrid w:val="0"/>
              <w:spacing w:before="165"/>
              <w:ind w:left="361"/>
              <w:textAlignment w:val="baseline"/>
            </w:pPr>
          </w:p>
        </w:tc>
        <w:tc>
          <w:tcPr>
            <w:tcW w:w="2302" w:type="dxa"/>
          </w:tcPr>
          <w:p w14:paraId="032370E9">
            <w:pPr>
              <w:pStyle w:val="25"/>
              <w:keepNext w:val="0"/>
              <w:keepLines w:val="0"/>
              <w:pageBreakBefore w:val="0"/>
              <w:widowControl w:val="0"/>
              <w:kinsoku w:val="0"/>
              <w:wordWrap/>
              <w:overflowPunct/>
              <w:topLinePunct w:val="0"/>
              <w:autoSpaceDE w:val="0"/>
              <w:autoSpaceDN w:val="0"/>
              <w:bidi w:val="0"/>
              <w:adjustRightInd w:val="0"/>
              <w:snapToGrid w:val="0"/>
              <w:spacing w:before="135" w:line="219" w:lineRule="auto"/>
              <w:ind w:left="737"/>
              <w:textAlignment w:val="baseline"/>
            </w:pPr>
          </w:p>
        </w:tc>
        <w:tc>
          <w:tcPr>
            <w:tcW w:w="1557" w:type="dxa"/>
          </w:tcPr>
          <w:p w14:paraId="5DD7C46C">
            <w:pPr>
              <w:pStyle w:val="25"/>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480"/>
              <w:textAlignment w:val="baseline"/>
            </w:pPr>
          </w:p>
        </w:tc>
        <w:tc>
          <w:tcPr>
            <w:tcW w:w="1953" w:type="dxa"/>
          </w:tcPr>
          <w:p w14:paraId="02C34A37">
            <w:pPr>
              <w:pStyle w:val="25"/>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672"/>
              <w:textAlignment w:val="baseline"/>
            </w:pPr>
          </w:p>
        </w:tc>
      </w:tr>
      <w:tr w14:paraId="03DA9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76E2076E">
            <w:pPr>
              <w:pStyle w:val="25"/>
              <w:keepNext w:val="0"/>
              <w:keepLines w:val="0"/>
              <w:pageBreakBefore w:val="0"/>
              <w:widowControl w:val="0"/>
              <w:kinsoku w:val="0"/>
              <w:wordWrap/>
              <w:overflowPunct/>
              <w:topLinePunct w:val="0"/>
              <w:autoSpaceDE w:val="0"/>
              <w:autoSpaceDN w:val="0"/>
              <w:bidi w:val="0"/>
              <w:adjustRightInd w:val="0"/>
              <w:snapToGrid w:val="0"/>
              <w:spacing w:before="166" w:line="239" w:lineRule="auto"/>
              <w:ind w:left="638"/>
              <w:textAlignment w:val="baseline"/>
            </w:pPr>
          </w:p>
        </w:tc>
        <w:tc>
          <w:tcPr>
            <w:tcW w:w="1555" w:type="dxa"/>
          </w:tcPr>
          <w:p w14:paraId="7A24567B">
            <w:pPr>
              <w:pStyle w:val="25"/>
              <w:keepNext w:val="0"/>
              <w:keepLines w:val="0"/>
              <w:pageBreakBefore w:val="0"/>
              <w:widowControl w:val="0"/>
              <w:kinsoku w:val="0"/>
              <w:wordWrap/>
              <w:overflowPunct/>
              <w:topLinePunct w:val="0"/>
              <w:autoSpaceDE w:val="0"/>
              <w:autoSpaceDN w:val="0"/>
              <w:bidi w:val="0"/>
              <w:adjustRightInd w:val="0"/>
              <w:snapToGrid w:val="0"/>
              <w:spacing w:before="166"/>
              <w:ind w:left="361"/>
              <w:textAlignment w:val="baseline"/>
            </w:pPr>
          </w:p>
        </w:tc>
        <w:tc>
          <w:tcPr>
            <w:tcW w:w="2302" w:type="dxa"/>
          </w:tcPr>
          <w:p w14:paraId="5D4AF2FC">
            <w:pPr>
              <w:pStyle w:val="25"/>
              <w:keepNext w:val="0"/>
              <w:keepLines w:val="0"/>
              <w:pageBreakBefore w:val="0"/>
              <w:widowControl w:val="0"/>
              <w:kinsoku w:val="0"/>
              <w:wordWrap/>
              <w:overflowPunct/>
              <w:topLinePunct w:val="0"/>
              <w:autoSpaceDE w:val="0"/>
              <w:autoSpaceDN w:val="0"/>
              <w:bidi w:val="0"/>
              <w:adjustRightInd w:val="0"/>
              <w:snapToGrid w:val="0"/>
              <w:spacing w:before="136" w:line="219" w:lineRule="auto"/>
              <w:ind w:left="737"/>
              <w:textAlignment w:val="baseline"/>
            </w:pPr>
          </w:p>
        </w:tc>
        <w:tc>
          <w:tcPr>
            <w:tcW w:w="1557" w:type="dxa"/>
          </w:tcPr>
          <w:p w14:paraId="0BE1ADC9">
            <w:pPr>
              <w:pStyle w:val="25"/>
              <w:keepNext w:val="0"/>
              <w:keepLines w:val="0"/>
              <w:pageBreakBefore w:val="0"/>
              <w:widowControl w:val="0"/>
              <w:kinsoku w:val="0"/>
              <w:wordWrap/>
              <w:overflowPunct/>
              <w:topLinePunct w:val="0"/>
              <w:autoSpaceDE w:val="0"/>
              <w:autoSpaceDN w:val="0"/>
              <w:bidi w:val="0"/>
              <w:adjustRightInd w:val="0"/>
              <w:snapToGrid w:val="0"/>
              <w:spacing w:before="137" w:line="220" w:lineRule="auto"/>
              <w:ind w:left="480"/>
              <w:textAlignment w:val="baseline"/>
            </w:pPr>
          </w:p>
        </w:tc>
        <w:tc>
          <w:tcPr>
            <w:tcW w:w="1953" w:type="dxa"/>
          </w:tcPr>
          <w:p w14:paraId="2782F765">
            <w:pPr>
              <w:pStyle w:val="25"/>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672"/>
              <w:textAlignment w:val="baseline"/>
            </w:pPr>
          </w:p>
        </w:tc>
      </w:tr>
      <w:tr w14:paraId="09C71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280CFC5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5" w:type="dxa"/>
          </w:tcPr>
          <w:p w14:paraId="7CF443A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02" w:type="dxa"/>
          </w:tcPr>
          <w:p w14:paraId="0B8EE01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7" w:type="dxa"/>
          </w:tcPr>
          <w:p w14:paraId="6AED72C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53" w:type="dxa"/>
          </w:tcPr>
          <w:p w14:paraId="0DC8105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14:paraId="5B79DCEB">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03B2B6B0">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51074"/>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B78BB52">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6844797B">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_Toc28572 </w:instrText>
          </w:r>
          <w:r>
            <w:fldChar w:fldCharType="separate"/>
          </w:r>
          <w:r>
            <w:rPr>
              <w:rFonts w:hint="eastAsia"/>
              <w:lang w:val="en-US" w:eastAsia="zh-CN"/>
            </w:rPr>
            <w:t>盐都区新能源汽车充电桩建设项目</w:t>
          </w:r>
          <w:r>
            <w:tab/>
          </w:r>
          <w:r>
            <w:fldChar w:fldCharType="begin"/>
          </w:r>
          <w:r>
            <w:instrText xml:space="preserve"> PAGEREF _Toc28572 \h </w:instrText>
          </w:r>
          <w:r>
            <w:fldChar w:fldCharType="separate"/>
          </w:r>
          <w:r>
            <w:t>1</w:t>
          </w:r>
          <w:r>
            <w:fldChar w:fldCharType="end"/>
          </w:r>
          <w:r>
            <w:fldChar w:fldCharType="end"/>
          </w:r>
        </w:p>
        <w:p w14:paraId="162DB116">
          <w:pPr>
            <w:pStyle w:val="16"/>
            <w:tabs>
              <w:tab w:val="right" w:leader="dot" w:pos="8306"/>
            </w:tabs>
          </w:pPr>
          <w:r>
            <w:fldChar w:fldCharType="begin"/>
          </w:r>
          <w:r>
            <w:instrText xml:space="preserve"> HYPERLINK \l _Toc16715 </w:instrText>
          </w:r>
          <w:r>
            <w:fldChar w:fldCharType="separate"/>
          </w:r>
          <w:r>
            <w:rPr>
              <w:rFonts w:hint="eastAsia"/>
              <w:lang w:val="en-US" w:eastAsia="zh-CN"/>
            </w:rPr>
            <w:t>服务可用性和连续性管理计划</w:t>
          </w:r>
          <w:r>
            <w:tab/>
          </w:r>
          <w:r>
            <w:fldChar w:fldCharType="begin"/>
          </w:r>
          <w:r>
            <w:instrText xml:space="preserve"> PAGEREF _Toc16715 \h </w:instrText>
          </w:r>
          <w:r>
            <w:fldChar w:fldCharType="separate"/>
          </w:r>
          <w:r>
            <w:t>1</w:t>
          </w:r>
          <w:r>
            <w:fldChar w:fldCharType="end"/>
          </w:r>
          <w:r>
            <w:fldChar w:fldCharType="end"/>
          </w:r>
        </w:p>
        <w:p w14:paraId="78D0CDD1">
          <w:pPr>
            <w:pStyle w:val="16"/>
            <w:tabs>
              <w:tab w:val="right" w:leader="dot" w:pos="8306"/>
            </w:tabs>
          </w:pPr>
          <w:r>
            <w:fldChar w:fldCharType="begin"/>
          </w:r>
          <w:r>
            <w:instrText xml:space="preserve"> HYPERLINK \l _Toc23557 </w:instrText>
          </w:r>
          <w:r>
            <w:fldChar w:fldCharType="separate"/>
          </w:r>
          <w:r>
            <w:t>中达丰集团有限公司</w:t>
          </w:r>
          <w:r>
            <w:tab/>
          </w:r>
          <w:r>
            <w:fldChar w:fldCharType="begin"/>
          </w:r>
          <w:r>
            <w:instrText xml:space="preserve"> PAGEREF _Toc23557 \h </w:instrText>
          </w:r>
          <w:r>
            <w:fldChar w:fldCharType="separate"/>
          </w:r>
          <w:r>
            <w:t>1</w:t>
          </w:r>
          <w:r>
            <w:fldChar w:fldCharType="end"/>
          </w:r>
          <w:r>
            <w:fldChar w:fldCharType="end"/>
          </w:r>
        </w:p>
        <w:p w14:paraId="4601FAA6">
          <w:pPr>
            <w:pStyle w:val="16"/>
            <w:tabs>
              <w:tab w:val="right" w:leader="dot" w:pos="8306"/>
            </w:tabs>
          </w:pPr>
          <w:r>
            <w:fldChar w:fldCharType="begin"/>
          </w:r>
          <w:r>
            <w:instrText xml:space="preserve"> HYPERLINK \l _Toc434 </w:instrText>
          </w:r>
          <w:r>
            <w:fldChar w:fldCharType="separate"/>
          </w:r>
          <w:r>
            <w:rPr>
              <w:rFonts w:ascii="宋体" w:hAnsi="宋体" w:eastAsia="宋体" w:cs="宋体"/>
              <w:spacing w:val="-2"/>
              <w:szCs w:val="21"/>
            </w:rPr>
            <w:t>文档信息</w:t>
          </w:r>
          <w:r>
            <w:tab/>
          </w:r>
          <w:r>
            <w:fldChar w:fldCharType="begin"/>
          </w:r>
          <w:r>
            <w:instrText xml:space="preserve"> PAGEREF _Toc434 \h </w:instrText>
          </w:r>
          <w:r>
            <w:fldChar w:fldCharType="separate"/>
          </w:r>
          <w:r>
            <w:t>2</w:t>
          </w:r>
          <w:r>
            <w:fldChar w:fldCharType="end"/>
          </w:r>
          <w:r>
            <w:fldChar w:fldCharType="end"/>
          </w:r>
        </w:p>
        <w:p w14:paraId="10FC785C">
          <w:pPr>
            <w:pStyle w:val="16"/>
            <w:tabs>
              <w:tab w:val="right" w:leader="dot" w:pos="8306"/>
            </w:tabs>
          </w:pPr>
          <w:r>
            <w:fldChar w:fldCharType="begin"/>
          </w:r>
          <w:r>
            <w:instrText xml:space="preserve"> HYPERLINK \l _Toc32656 </w:instrText>
          </w:r>
          <w:r>
            <w:fldChar w:fldCharType="separate"/>
          </w:r>
          <w:r>
            <w:rPr>
              <w:rFonts w:hint="default"/>
              <w:lang w:val="en-US" w:eastAsia="zh-CN"/>
            </w:rPr>
            <w:t xml:space="preserve">1. </w:t>
          </w:r>
          <w:r>
            <w:rPr>
              <w:rFonts w:hint="eastAsia"/>
              <w:lang w:val="en-US" w:eastAsia="zh-CN"/>
            </w:rPr>
            <w:t>概述</w:t>
          </w:r>
          <w:r>
            <w:tab/>
          </w:r>
          <w:r>
            <w:fldChar w:fldCharType="begin"/>
          </w:r>
          <w:r>
            <w:instrText xml:space="preserve"> PAGEREF _Toc32656 \h </w:instrText>
          </w:r>
          <w:r>
            <w:fldChar w:fldCharType="separate"/>
          </w:r>
          <w:r>
            <w:t>4</w:t>
          </w:r>
          <w:r>
            <w:fldChar w:fldCharType="end"/>
          </w:r>
          <w:r>
            <w:fldChar w:fldCharType="end"/>
          </w:r>
        </w:p>
        <w:p w14:paraId="051D960C">
          <w:pPr>
            <w:pStyle w:val="16"/>
            <w:tabs>
              <w:tab w:val="right" w:leader="dot" w:pos="8306"/>
            </w:tabs>
          </w:pPr>
          <w:r>
            <w:fldChar w:fldCharType="begin"/>
          </w:r>
          <w:r>
            <w:instrText xml:space="preserve"> HYPERLINK \l _Toc2042 </w:instrText>
          </w:r>
          <w:r>
            <w:fldChar w:fldCharType="separate"/>
          </w:r>
          <w:r>
            <w:rPr>
              <w:rFonts w:hint="default"/>
              <w:lang w:val="en-US" w:eastAsia="zh-CN"/>
            </w:rPr>
            <w:t xml:space="preserve">2. </w:t>
          </w:r>
          <w:r>
            <w:rPr>
              <w:rFonts w:hint="eastAsia"/>
              <w:lang w:val="en-US" w:eastAsia="zh-CN"/>
            </w:rPr>
            <w:t>管理目标与承诺目标</w:t>
          </w:r>
          <w:r>
            <w:tab/>
          </w:r>
          <w:r>
            <w:fldChar w:fldCharType="begin"/>
          </w:r>
          <w:r>
            <w:instrText xml:space="preserve"> PAGEREF _Toc2042 \h </w:instrText>
          </w:r>
          <w:r>
            <w:fldChar w:fldCharType="separate"/>
          </w:r>
          <w:r>
            <w:t>4</w:t>
          </w:r>
          <w:r>
            <w:fldChar w:fldCharType="end"/>
          </w:r>
          <w:r>
            <w:fldChar w:fldCharType="end"/>
          </w:r>
        </w:p>
        <w:p w14:paraId="7308E1E6">
          <w:pPr>
            <w:pStyle w:val="16"/>
            <w:tabs>
              <w:tab w:val="right" w:leader="dot" w:pos="8306"/>
            </w:tabs>
          </w:pPr>
          <w:r>
            <w:fldChar w:fldCharType="begin"/>
          </w:r>
          <w:r>
            <w:instrText xml:space="preserve"> HYPERLINK \l _Toc15518 </w:instrText>
          </w:r>
          <w:r>
            <w:fldChar w:fldCharType="separate"/>
          </w:r>
          <w:r>
            <w:rPr>
              <w:rFonts w:hint="default"/>
              <w:lang w:val="en-US" w:eastAsia="zh-CN"/>
            </w:rPr>
            <w:t xml:space="preserve">3. </w:t>
          </w:r>
          <w:r>
            <w:rPr>
              <w:rFonts w:hint="eastAsia"/>
              <w:lang w:val="en-US" w:eastAsia="zh-CN"/>
            </w:rPr>
            <w:t>组织架构与核心岗位职责</w:t>
          </w:r>
          <w:r>
            <w:tab/>
          </w:r>
          <w:r>
            <w:fldChar w:fldCharType="begin"/>
          </w:r>
          <w:r>
            <w:instrText xml:space="preserve"> PAGEREF _Toc15518 \h </w:instrText>
          </w:r>
          <w:r>
            <w:fldChar w:fldCharType="separate"/>
          </w:r>
          <w:r>
            <w:t>4</w:t>
          </w:r>
          <w:r>
            <w:fldChar w:fldCharType="end"/>
          </w:r>
          <w:r>
            <w:fldChar w:fldCharType="end"/>
          </w:r>
        </w:p>
        <w:p w14:paraId="672F38C5">
          <w:pPr>
            <w:pStyle w:val="16"/>
            <w:tabs>
              <w:tab w:val="right" w:leader="dot" w:pos="8306"/>
            </w:tabs>
          </w:pPr>
          <w:r>
            <w:fldChar w:fldCharType="begin"/>
          </w:r>
          <w:r>
            <w:instrText xml:space="preserve"> HYPERLINK \l _Toc31034 </w:instrText>
          </w:r>
          <w:r>
            <w:fldChar w:fldCharType="separate"/>
          </w:r>
          <w:r>
            <w:rPr>
              <w:rFonts w:hint="default"/>
              <w:lang w:val="en-US" w:eastAsia="zh-CN"/>
            </w:rPr>
            <w:t xml:space="preserve">4. </w:t>
          </w:r>
          <w:r>
            <w:rPr>
              <w:rFonts w:hint="eastAsia"/>
              <w:lang w:val="en-US" w:eastAsia="zh-CN"/>
            </w:rPr>
            <w:t>核心管理流程与措施</w:t>
          </w:r>
          <w:r>
            <w:tab/>
          </w:r>
          <w:r>
            <w:fldChar w:fldCharType="begin"/>
          </w:r>
          <w:r>
            <w:instrText xml:space="preserve"> PAGEREF _Toc31034 \h </w:instrText>
          </w:r>
          <w:r>
            <w:fldChar w:fldCharType="separate"/>
          </w:r>
          <w:r>
            <w:t>5</w:t>
          </w:r>
          <w:r>
            <w:fldChar w:fldCharType="end"/>
          </w:r>
          <w:r>
            <w:fldChar w:fldCharType="end"/>
          </w:r>
        </w:p>
        <w:p w14:paraId="1674AF03">
          <w:pPr>
            <w:pStyle w:val="17"/>
            <w:tabs>
              <w:tab w:val="right" w:leader="dot" w:pos="8306"/>
            </w:tabs>
          </w:pPr>
          <w:r>
            <w:fldChar w:fldCharType="begin"/>
          </w:r>
          <w:r>
            <w:instrText xml:space="preserve"> HYPERLINK \l _Toc10051 </w:instrText>
          </w:r>
          <w:r>
            <w:fldChar w:fldCharType="separate"/>
          </w:r>
          <w:r>
            <w:rPr>
              <w:rFonts w:hint="default"/>
              <w:lang w:val="en-US" w:eastAsia="zh-CN"/>
            </w:rPr>
            <w:t>4.1. 服务可用性保障流程</w:t>
          </w:r>
          <w:r>
            <w:tab/>
          </w:r>
          <w:r>
            <w:fldChar w:fldCharType="begin"/>
          </w:r>
          <w:r>
            <w:instrText xml:space="preserve"> PAGEREF _Toc10051 \h </w:instrText>
          </w:r>
          <w:r>
            <w:fldChar w:fldCharType="separate"/>
          </w:r>
          <w:r>
            <w:t>5</w:t>
          </w:r>
          <w:r>
            <w:fldChar w:fldCharType="end"/>
          </w:r>
          <w:r>
            <w:fldChar w:fldCharType="end"/>
          </w:r>
        </w:p>
        <w:p w14:paraId="1B0B58C2">
          <w:pPr>
            <w:pStyle w:val="17"/>
            <w:tabs>
              <w:tab w:val="right" w:leader="dot" w:pos="8306"/>
            </w:tabs>
          </w:pPr>
          <w:r>
            <w:fldChar w:fldCharType="begin"/>
          </w:r>
          <w:r>
            <w:instrText xml:space="preserve"> HYPERLINK \l _Toc22334 </w:instrText>
          </w:r>
          <w:r>
            <w:fldChar w:fldCharType="separate"/>
          </w:r>
          <w:r>
            <w:rPr>
              <w:rFonts w:hint="default"/>
              <w:lang w:val="en-US" w:eastAsia="zh-CN"/>
            </w:rPr>
            <w:t>4.2. 业务连续性管理流程</w:t>
          </w:r>
          <w:r>
            <w:tab/>
          </w:r>
          <w:r>
            <w:fldChar w:fldCharType="begin"/>
          </w:r>
          <w:r>
            <w:instrText xml:space="preserve"> PAGEREF _Toc22334 \h </w:instrText>
          </w:r>
          <w:r>
            <w:fldChar w:fldCharType="separate"/>
          </w:r>
          <w:r>
            <w:t>5</w:t>
          </w:r>
          <w:r>
            <w:fldChar w:fldCharType="end"/>
          </w:r>
          <w:r>
            <w:fldChar w:fldCharType="end"/>
          </w:r>
        </w:p>
        <w:p w14:paraId="2961FCD2">
          <w:pPr>
            <w:pStyle w:val="16"/>
            <w:tabs>
              <w:tab w:val="right" w:leader="dot" w:pos="8306"/>
            </w:tabs>
          </w:pPr>
          <w:r>
            <w:fldChar w:fldCharType="begin"/>
          </w:r>
          <w:r>
            <w:instrText xml:space="preserve"> HYPERLINK \l _Toc10232 </w:instrText>
          </w:r>
          <w:r>
            <w:fldChar w:fldCharType="separate"/>
          </w:r>
          <w:r>
            <w:rPr>
              <w:rFonts w:hint="default"/>
              <w:lang w:val="en-US" w:eastAsia="zh-CN"/>
            </w:rPr>
            <w:t>5. 关键资源保障</w:t>
          </w:r>
          <w:r>
            <w:tab/>
          </w:r>
          <w:r>
            <w:fldChar w:fldCharType="begin"/>
          </w:r>
          <w:r>
            <w:instrText xml:space="preserve"> PAGEREF _Toc10232 \h </w:instrText>
          </w:r>
          <w:r>
            <w:fldChar w:fldCharType="separate"/>
          </w:r>
          <w:r>
            <w:t>5</w:t>
          </w:r>
          <w:r>
            <w:fldChar w:fldCharType="end"/>
          </w:r>
          <w:r>
            <w:fldChar w:fldCharType="end"/>
          </w:r>
        </w:p>
        <w:p w14:paraId="7E556491">
          <w:pPr>
            <w:pStyle w:val="16"/>
            <w:tabs>
              <w:tab w:val="right" w:leader="dot" w:pos="8306"/>
            </w:tabs>
          </w:pPr>
          <w:r>
            <w:fldChar w:fldCharType="begin"/>
          </w:r>
          <w:r>
            <w:instrText xml:space="preserve"> HYPERLINK \l _Toc9978 </w:instrText>
          </w:r>
          <w:r>
            <w:fldChar w:fldCharType="separate"/>
          </w:r>
          <w:r>
            <w:rPr>
              <w:rFonts w:hint="default"/>
              <w:lang w:val="en-US" w:eastAsia="zh-CN"/>
            </w:rPr>
            <w:t>6. 附件</w:t>
          </w:r>
          <w:r>
            <w:tab/>
          </w:r>
          <w:r>
            <w:fldChar w:fldCharType="begin"/>
          </w:r>
          <w:r>
            <w:instrText xml:space="preserve"> PAGEREF _Toc9978 \h </w:instrText>
          </w:r>
          <w:r>
            <w:fldChar w:fldCharType="separate"/>
          </w:r>
          <w:r>
            <w:t>6</w:t>
          </w:r>
          <w:r>
            <w:fldChar w:fldCharType="end"/>
          </w:r>
          <w:r>
            <w:fldChar w:fldCharType="end"/>
          </w:r>
        </w:p>
        <w:p w14:paraId="3D2517A7">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15D15E1A">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6E9DFE86">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35127DC3">
      <w:pPr>
        <w:pStyle w:val="28"/>
        <w:bidi w:val="0"/>
        <w:rPr>
          <w:rFonts w:hint="default"/>
          <w:lang w:val="en-US" w:eastAsia="zh-CN"/>
        </w:rPr>
      </w:pPr>
      <w:bookmarkStart w:id="7" w:name="_Toc32656"/>
      <w:r>
        <w:rPr>
          <w:rFonts w:hint="eastAsia"/>
          <w:lang w:val="en-US" w:eastAsia="zh-CN"/>
        </w:rPr>
        <w:t>概述</w:t>
      </w:r>
      <w:bookmarkEnd w:id="7"/>
    </w:p>
    <w:p w14:paraId="30D66E76">
      <w:pPr>
        <w:pStyle w:val="29"/>
        <w:bidi w:val="0"/>
      </w:pPr>
      <w:r>
        <w:t>本计划依据《盐都区新能源汽车充电站建设项目合同》第七条的约定及中达丰集团有限公司《服务可用性和业务连续性管理制度》的要求制定。旨在为项目质保期内充电站系统的稳定运行提供系统性的管理框架。本计划严格遵循公司制度，将制度中规定的考核指标作为本项目服务交付的核心承诺与衡量标准，并明确了核心岗位职责与保障流程，以确保充电服务在面临中断时能快速恢复，最大限度减少影响。</w:t>
      </w:r>
    </w:p>
    <w:p w14:paraId="77F294B3">
      <w:pPr>
        <w:pStyle w:val="28"/>
        <w:bidi w:val="0"/>
        <w:rPr>
          <w:rFonts w:hint="default"/>
          <w:lang w:val="en-US" w:eastAsia="zh-CN"/>
        </w:rPr>
      </w:pPr>
      <w:bookmarkStart w:id="8" w:name="_Toc2042"/>
      <w:r>
        <w:rPr>
          <w:rFonts w:hint="eastAsia"/>
          <w:lang w:val="en-US" w:eastAsia="zh-CN"/>
        </w:rPr>
        <w:t>管理目标与承诺目标</w:t>
      </w:r>
      <w:bookmarkEnd w:id="8"/>
    </w:p>
    <w:p w14:paraId="5EA1199C">
      <w:pPr>
        <w:pStyle w:val="29"/>
        <w:bidi w:val="0"/>
      </w:pPr>
      <w:r>
        <w:t>为承接主合同的质量保证要求，并严格遵循公司《服务可用性和业务连续性管理制度》，本计划承诺达成的核心考核指标如下：</w:t>
      </w:r>
    </w:p>
    <w:tbl>
      <w:tblPr>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79"/>
        <w:gridCol w:w="1355"/>
        <w:gridCol w:w="3660"/>
        <w:gridCol w:w="1165"/>
        <w:gridCol w:w="1736"/>
      </w:tblGrid>
      <w:tr w14:paraId="16185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FFFFFF"/>
            <w:noWrap w:val="0"/>
            <w:tcMar>
              <w:top w:w="120" w:type="dxa"/>
              <w:left w:w="-1" w:type="dxa"/>
              <w:bottom w:w="120" w:type="dxa"/>
              <w:right w:w="192" w:type="dxa"/>
            </w:tcMar>
            <w:vAlign w:val="center"/>
          </w:tcPr>
          <w:p w14:paraId="13215B0E">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序号</w:t>
            </w:r>
          </w:p>
        </w:tc>
        <w:tc>
          <w:tcPr>
            <w:tcW w:w="0" w:type="auto"/>
            <w:tcBorders>
              <w:top w:val="single" w:color="auto" w:sz="12" w:space="0"/>
              <w:left w:val="single" w:color="auto" w:sz="4" w:space="0"/>
              <w:bottom w:val="nil"/>
              <w:right w:val="nil"/>
            </w:tcBorders>
            <w:shd w:val="clear" w:color="auto" w:fill="FFFFFF"/>
            <w:noWrap w:val="0"/>
            <w:tcMar>
              <w:top w:w="120" w:type="dxa"/>
              <w:left w:w="192" w:type="dxa"/>
              <w:bottom w:w="120" w:type="dxa"/>
              <w:right w:w="192" w:type="dxa"/>
            </w:tcMar>
            <w:vAlign w:val="center"/>
          </w:tcPr>
          <w:p w14:paraId="696093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衡量指标</w:t>
            </w:r>
          </w:p>
        </w:tc>
        <w:tc>
          <w:tcPr>
            <w:tcW w:w="0" w:type="auto"/>
            <w:tcBorders>
              <w:top w:val="single" w:color="auto" w:sz="12" w:space="0"/>
              <w:left w:val="single" w:color="auto" w:sz="4" w:space="0"/>
              <w:bottom w:val="nil"/>
              <w:right w:val="nil"/>
            </w:tcBorders>
            <w:shd w:val="clear" w:color="auto" w:fill="FFFFFF"/>
            <w:noWrap w:val="0"/>
            <w:tcMar>
              <w:top w:w="120" w:type="dxa"/>
              <w:left w:w="192" w:type="dxa"/>
              <w:bottom w:w="120" w:type="dxa"/>
              <w:right w:w="192" w:type="dxa"/>
            </w:tcMar>
            <w:vAlign w:val="center"/>
          </w:tcPr>
          <w:p w14:paraId="53E76D7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指标计算说明</w:t>
            </w:r>
          </w:p>
        </w:tc>
        <w:tc>
          <w:tcPr>
            <w:tcW w:w="0" w:type="auto"/>
            <w:tcBorders>
              <w:top w:val="single" w:color="auto" w:sz="12" w:space="0"/>
              <w:left w:val="single" w:color="auto" w:sz="4" w:space="0"/>
              <w:bottom w:val="nil"/>
              <w:right w:val="nil"/>
            </w:tcBorders>
            <w:shd w:val="clear" w:color="auto" w:fill="FFFFFF"/>
            <w:noWrap w:val="0"/>
            <w:tcMar>
              <w:top w:w="120" w:type="dxa"/>
              <w:left w:w="192" w:type="dxa"/>
              <w:bottom w:w="120" w:type="dxa"/>
              <w:right w:w="192" w:type="dxa"/>
            </w:tcMar>
            <w:vAlign w:val="center"/>
          </w:tcPr>
          <w:p w14:paraId="1C5C007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考核频次</w:t>
            </w:r>
          </w:p>
        </w:tc>
        <w:tc>
          <w:tcPr>
            <w:tcW w:w="1736" w:type="dxa"/>
            <w:tcBorders>
              <w:top w:val="single" w:color="auto" w:sz="12" w:space="0"/>
              <w:left w:val="single" w:color="auto" w:sz="4" w:space="0"/>
              <w:bottom w:val="nil"/>
              <w:right w:val="single" w:color="auto" w:sz="12" w:space="0"/>
            </w:tcBorders>
            <w:shd w:val="clear" w:color="auto" w:fill="FFFFFF"/>
            <w:noWrap w:val="0"/>
            <w:tcMar>
              <w:top w:w="120" w:type="dxa"/>
              <w:left w:w="192" w:type="dxa"/>
              <w:bottom w:w="120" w:type="dxa"/>
              <w:right w:w="192" w:type="dxa"/>
            </w:tcMar>
            <w:vAlign w:val="center"/>
          </w:tcPr>
          <w:p w14:paraId="3A1D350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目标值</w:t>
            </w:r>
          </w:p>
        </w:tc>
      </w:tr>
      <w:tr w14:paraId="1B7E0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FFFFFF"/>
            <w:noWrap w:val="0"/>
            <w:tcMar>
              <w:top w:w="120" w:type="dxa"/>
              <w:left w:w="-1" w:type="dxa"/>
              <w:bottom w:w="120" w:type="dxa"/>
              <w:right w:w="192" w:type="dxa"/>
            </w:tcMar>
            <w:vAlign w:val="center"/>
          </w:tcPr>
          <w:p w14:paraId="702A51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1</w:t>
            </w:r>
          </w:p>
        </w:tc>
        <w:tc>
          <w:tcPr>
            <w:tcW w:w="0" w:type="auto"/>
            <w:tcBorders>
              <w:top w:val="single" w:color="auto" w:sz="4" w:space="0"/>
              <w:left w:val="single" w:color="auto" w:sz="4" w:space="0"/>
              <w:bottom w:val="nil"/>
              <w:right w:val="nil"/>
            </w:tcBorders>
            <w:shd w:val="clear" w:color="auto" w:fill="FFFFFF"/>
            <w:noWrap w:val="0"/>
            <w:tcMar>
              <w:top w:w="120" w:type="dxa"/>
              <w:left w:w="192" w:type="dxa"/>
              <w:bottom w:w="120" w:type="dxa"/>
              <w:right w:w="192" w:type="dxa"/>
            </w:tcMar>
            <w:vAlign w:val="center"/>
          </w:tcPr>
          <w:p w14:paraId="6E4A26F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业务可用性</w:t>
            </w:r>
          </w:p>
        </w:tc>
        <w:tc>
          <w:tcPr>
            <w:tcW w:w="0" w:type="auto"/>
            <w:tcBorders>
              <w:top w:val="single" w:color="auto" w:sz="4" w:space="0"/>
              <w:left w:val="single" w:color="auto" w:sz="4" w:space="0"/>
              <w:bottom w:val="nil"/>
              <w:right w:val="nil"/>
            </w:tcBorders>
            <w:shd w:val="clear" w:color="auto" w:fill="FFFFFF"/>
            <w:noWrap w:val="0"/>
            <w:tcMar>
              <w:top w:w="120" w:type="dxa"/>
              <w:left w:w="192" w:type="dxa"/>
              <w:bottom w:w="120" w:type="dxa"/>
              <w:right w:w="192" w:type="dxa"/>
            </w:tcMar>
            <w:vAlign w:val="center"/>
          </w:tcPr>
          <w:p w14:paraId="03A3A878">
            <w:pPr>
              <w:keepNext w:val="0"/>
              <w:keepLines w:val="0"/>
              <w:pageBreakBefore w:val="0"/>
              <w:widowControl w:val="0"/>
              <w:kinsoku w:val="0"/>
              <w:wordWrap/>
              <w:overflowPunct/>
              <w:topLinePunct w:val="0"/>
              <w:autoSpaceDE w:val="0"/>
              <w:autoSpaceDN w:val="0"/>
              <w:bidi w:val="0"/>
              <w:adjustRightInd w:val="0"/>
              <w:snapToGrid w:val="0"/>
              <w:spacing w:before="194"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宋体" w:eastAsia="Segoe UI" w:cs="宋体"/>
                <w:spacing w:val="-2"/>
                <w:sz w:val="18"/>
                <w:szCs w:val="24"/>
                <w:lang w:val="en-US" w:eastAsia="zh-CN"/>
              </w:rPr>
              <w:t>可用时间/整体运行时间*100%</w:t>
            </w:r>
          </w:p>
        </w:tc>
        <w:tc>
          <w:tcPr>
            <w:tcW w:w="0" w:type="auto"/>
            <w:tcBorders>
              <w:top w:val="single" w:color="auto" w:sz="4" w:space="0"/>
              <w:left w:val="single" w:color="auto" w:sz="4" w:space="0"/>
              <w:bottom w:val="nil"/>
              <w:right w:val="nil"/>
            </w:tcBorders>
            <w:shd w:val="clear" w:color="auto" w:fill="FFFFFF"/>
            <w:noWrap w:val="0"/>
            <w:tcMar>
              <w:top w:w="120" w:type="dxa"/>
              <w:left w:w="192" w:type="dxa"/>
              <w:bottom w:w="120" w:type="dxa"/>
              <w:right w:w="192" w:type="dxa"/>
            </w:tcMar>
            <w:vAlign w:val="center"/>
          </w:tcPr>
          <w:p w14:paraId="341862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季度</w:t>
            </w:r>
          </w:p>
        </w:tc>
        <w:tc>
          <w:tcPr>
            <w:tcW w:w="1736" w:type="dxa"/>
            <w:tcBorders>
              <w:top w:val="single" w:color="auto" w:sz="4" w:space="0"/>
              <w:left w:val="single" w:color="auto" w:sz="4" w:space="0"/>
              <w:bottom w:val="nil"/>
              <w:right w:val="single" w:color="auto" w:sz="12" w:space="0"/>
            </w:tcBorders>
            <w:shd w:val="clear" w:color="auto" w:fill="FFFFFF"/>
            <w:noWrap w:val="0"/>
            <w:tcMar>
              <w:top w:w="120" w:type="dxa"/>
              <w:left w:w="192" w:type="dxa"/>
              <w:bottom w:w="120" w:type="dxa"/>
              <w:right w:w="192" w:type="dxa"/>
            </w:tcMar>
            <w:vAlign w:val="center"/>
          </w:tcPr>
          <w:p w14:paraId="5F5596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 99%</w:t>
            </w:r>
          </w:p>
        </w:tc>
      </w:tr>
      <w:tr w14:paraId="5E1C9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579" w:type="dxa"/>
            <w:tcBorders>
              <w:top w:val="single" w:color="auto" w:sz="4" w:space="0"/>
              <w:left w:val="single" w:color="auto" w:sz="12" w:space="0"/>
              <w:bottom w:val="single" w:color="auto" w:sz="12" w:space="0"/>
              <w:right w:val="nil"/>
            </w:tcBorders>
            <w:shd w:val="clear" w:color="auto" w:fill="FFFFFF"/>
            <w:noWrap w:val="0"/>
            <w:tcMar>
              <w:top w:w="120" w:type="dxa"/>
              <w:left w:w="-1" w:type="dxa"/>
              <w:bottom w:w="120" w:type="dxa"/>
              <w:right w:w="192" w:type="dxa"/>
            </w:tcMar>
            <w:vAlign w:val="center"/>
          </w:tcPr>
          <w:p w14:paraId="0BD6BE9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2</w:t>
            </w:r>
          </w:p>
        </w:tc>
        <w:tc>
          <w:tcPr>
            <w:tcW w:w="1355" w:type="dxa"/>
            <w:tcBorders>
              <w:top w:val="single" w:color="auto" w:sz="4" w:space="0"/>
              <w:left w:val="single" w:color="auto" w:sz="4" w:space="0"/>
              <w:bottom w:val="single" w:color="auto" w:sz="12" w:space="0"/>
              <w:right w:val="nil"/>
            </w:tcBorders>
            <w:shd w:val="clear" w:color="auto" w:fill="FFFFFF"/>
            <w:noWrap w:val="0"/>
            <w:tcMar>
              <w:top w:w="120" w:type="dxa"/>
              <w:left w:w="192" w:type="dxa"/>
              <w:bottom w:w="120" w:type="dxa"/>
              <w:right w:w="192" w:type="dxa"/>
            </w:tcMar>
            <w:vAlign w:val="center"/>
          </w:tcPr>
          <w:p w14:paraId="290CC7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服务连续性</w:t>
            </w:r>
          </w:p>
        </w:tc>
        <w:tc>
          <w:tcPr>
            <w:tcW w:w="3660" w:type="dxa"/>
            <w:tcBorders>
              <w:top w:val="single" w:color="auto" w:sz="4" w:space="0"/>
              <w:left w:val="single" w:color="auto" w:sz="4" w:space="0"/>
              <w:bottom w:val="single" w:color="auto" w:sz="12" w:space="0"/>
              <w:right w:val="nil"/>
            </w:tcBorders>
            <w:shd w:val="clear" w:color="auto" w:fill="FFFFFF"/>
            <w:noWrap w:val="0"/>
            <w:tcMar>
              <w:top w:w="120" w:type="dxa"/>
              <w:left w:w="192" w:type="dxa"/>
              <w:bottom w:w="120" w:type="dxa"/>
              <w:right w:w="192" w:type="dxa"/>
            </w:tcMar>
            <w:vAlign w:val="center"/>
          </w:tcPr>
          <w:p w14:paraId="6AB72F21">
            <w:pPr>
              <w:keepNext w:val="0"/>
              <w:keepLines w:val="0"/>
              <w:pageBreakBefore w:val="0"/>
              <w:widowControl w:val="0"/>
              <w:kinsoku w:val="0"/>
              <w:wordWrap/>
              <w:overflowPunct/>
              <w:topLinePunct w:val="0"/>
              <w:autoSpaceDE w:val="0"/>
              <w:autoSpaceDN w:val="0"/>
              <w:bidi w:val="0"/>
              <w:adjustRightInd w:val="0"/>
              <w:snapToGrid w:val="0"/>
              <w:spacing w:before="194"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宋体" w:eastAsia="Segoe UI" w:cs="宋体"/>
                <w:spacing w:val="-2"/>
                <w:sz w:val="18"/>
                <w:szCs w:val="24"/>
                <w:lang w:val="en-US" w:eastAsia="zh-CN"/>
              </w:rPr>
              <w:t>由于突发事件导致故障的次数</w:t>
            </w:r>
          </w:p>
        </w:tc>
        <w:tc>
          <w:tcPr>
            <w:tcW w:w="1165" w:type="dxa"/>
            <w:tcBorders>
              <w:top w:val="single" w:color="auto" w:sz="4" w:space="0"/>
              <w:left w:val="single" w:color="auto" w:sz="4" w:space="0"/>
              <w:bottom w:val="single" w:color="auto" w:sz="12" w:space="0"/>
              <w:right w:val="nil"/>
            </w:tcBorders>
            <w:shd w:val="clear" w:color="auto" w:fill="FFFFFF"/>
            <w:noWrap w:val="0"/>
            <w:tcMar>
              <w:top w:w="120" w:type="dxa"/>
              <w:left w:w="192" w:type="dxa"/>
              <w:bottom w:w="120" w:type="dxa"/>
              <w:right w:w="192" w:type="dxa"/>
            </w:tcMar>
            <w:vAlign w:val="center"/>
          </w:tcPr>
          <w:p w14:paraId="0D91631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季度</w:t>
            </w:r>
          </w:p>
        </w:tc>
        <w:tc>
          <w:tcPr>
            <w:tcW w:w="1736" w:type="dxa"/>
            <w:tcBorders>
              <w:top w:val="single" w:color="auto" w:sz="4" w:space="0"/>
              <w:left w:val="single" w:color="auto" w:sz="4" w:space="0"/>
              <w:bottom w:val="single" w:color="auto" w:sz="12" w:space="0"/>
              <w:right w:val="single" w:color="auto" w:sz="12" w:space="0"/>
            </w:tcBorders>
            <w:shd w:val="clear" w:color="auto" w:fill="FFFFFF"/>
            <w:noWrap w:val="0"/>
            <w:tcMar>
              <w:top w:w="120" w:type="dxa"/>
              <w:left w:w="192" w:type="dxa"/>
              <w:bottom w:w="120" w:type="dxa"/>
              <w:right w:w="192" w:type="dxa"/>
            </w:tcMar>
            <w:vAlign w:val="center"/>
          </w:tcPr>
          <w:p w14:paraId="275D3E6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 2次</w:t>
            </w:r>
          </w:p>
        </w:tc>
      </w:tr>
    </w:tbl>
    <w:p w14:paraId="272C9052">
      <w:pPr>
        <w:pStyle w:val="28"/>
        <w:bidi w:val="0"/>
        <w:rPr>
          <w:rFonts w:hint="default"/>
          <w:lang w:val="en-US" w:eastAsia="zh-CN"/>
        </w:rPr>
      </w:pPr>
      <w:bookmarkStart w:id="9" w:name="_Toc15518"/>
      <w:r>
        <w:rPr>
          <w:rFonts w:hint="eastAsia"/>
          <w:lang w:val="en-US" w:eastAsia="zh-CN"/>
        </w:rPr>
        <w:t>组织架构与核心岗位职责</w:t>
      </w:r>
      <w:bookmarkEnd w:id="9"/>
    </w:p>
    <w:tbl>
      <w:tblPr>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21"/>
        <w:gridCol w:w="6574"/>
      </w:tblGrid>
      <w:tr w14:paraId="3F0B2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921" w:type="dxa"/>
            <w:tcBorders>
              <w:top w:val="single" w:color="auto" w:sz="12" w:space="0"/>
              <w:left w:val="single" w:color="auto" w:sz="12" w:space="0"/>
              <w:bottom w:val="nil"/>
              <w:right w:val="nil"/>
            </w:tcBorders>
            <w:shd w:val="clear" w:color="auto" w:fill="FFFFFF"/>
            <w:noWrap w:val="0"/>
            <w:tcMar>
              <w:top w:w="120" w:type="dxa"/>
              <w:left w:w="-1" w:type="dxa"/>
              <w:bottom w:w="120" w:type="dxa"/>
              <w:right w:w="192" w:type="dxa"/>
            </w:tcMar>
            <w:vAlign w:val="center"/>
          </w:tcPr>
          <w:p w14:paraId="19CA1CF6">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岗位</w:t>
            </w:r>
          </w:p>
        </w:tc>
        <w:tc>
          <w:tcPr>
            <w:tcW w:w="6574" w:type="dxa"/>
            <w:tcBorders>
              <w:top w:val="single" w:color="auto" w:sz="12" w:space="0"/>
              <w:left w:val="single" w:color="auto" w:sz="4" w:space="0"/>
              <w:bottom w:val="nil"/>
              <w:right w:val="single" w:color="auto" w:sz="12" w:space="0"/>
            </w:tcBorders>
            <w:shd w:val="clear" w:color="auto" w:fill="FFFFFF"/>
            <w:noWrap w:val="0"/>
            <w:tcMar>
              <w:top w:w="120" w:type="dxa"/>
              <w:left w:w="192" w:type="dxa"/>
              <w:bottom w:w="120" w:type="dxa"/>
              <w:right w:w="192" w:type="dxa"/>
            </w:tcMar>
            <w:vAlign w:val="center"/>
          </w:tcPr>
          <w:p w14:paraId="0395C61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在计划中的核心职责</w:t>
            </w:r>
          </w:p>
        </w:tc>
      </w:tr>
      <w:tr w14:paraId="1B0E6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21" w:type="dxa"/>
            <w:tcBorders>
              <w:top w:val="single" w:color="auto" w:sz="4" w:space="0"/>
              <w:left w:val="single" w:color="auto" w:sz="12" w:space="0"/>
              <w:bottom w:val="nil"/>
              <w:right w:val="nil"/>
            </w:tcBorders>
            <w:shd w:val="clear" w:color="auto" w:fill="FFFFFF"/>
            <w:noWrap w:val="0"/>
            <w:tcMar>
              <w:top w:w="120" w:type="dxa"/>
              <w:left w:w="-1" w:type="dxa"/>
              <w:bottom w:w="120" w:type="dxa"/>
              <w:right w:w="192" w:type="dxa"/>
            </w:tcMar>
            <w:vAlign w:val="center"/>
          </w:tcPr>
          <w:p w14:paraId="3FCF1C9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运维部经理</w:t>
            </w:r>
          </w:p>
        </w:tc>
        <w:tc>
          <w:tcPr>
            <w:tcW w:w="6574" w:type="dxa"/>
            <w:tcBorders>
              <w:top w:val="single" w:color="auto" w:sz="4" w:space="0"/>
              <w:left w:val="single" w:color="auto" w:sz="4" w:space="0"/>
              <w:bottom w:val="nil"/>
              <w:right w:val="single" w:color="auto" w:sz="12" w:space="0"/>
            </w:tcBorders>
            <w:shd w:val="clear" w:color="auto" w:fill="FFFFFF"/>
            <w:noWrap w:val="0"/>
            <w:tcMar>
              <w:top w:w="120" w:type="dxa"/>
              <w:left w:w="192" w:type="dxa"/>
              <w:bottom w:w="120" w:type="dxa"/>
              <w:right w:w="-1" w:type="dxa"/>
            </w:tcMar>
            <w:vAlign w:val="center"/>
          </w:tcPr>
          <w:p w14:paraId="7664053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bidi="ar"/>
              </w:rPr>
            </w:pPr>
            <w:r>
              <w:rPr>
                <w:rFonts w:hint="default" w:ascii="Segoe UI" w:hAnsi="Segoe UI" w:eastAsia="Segoe UI" w:cs="Segoe UI"/>
                <w:i w:val="0"/>
                <w:iCs w:val="0"/>
                <w:caps w:val="0"/>
                <w:snapToGrid w:val="0"/>
                <w:color w:val="000000"/>
                <w:spacing w:val="0"/>
                <w:kern w:val="0"/>
                <w:sz w:val="18"/>
                <w:szCs w:val="18"/>
                <w:lang w:val="en-US" w:eastAsia="zh-CN" w:bidi="ar"/>
              </w:rPr>
              <w:t>1.总负责人：对项目服务可用性和连续性的最终结果负责。</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2.资源保障：审批本计划及预算，确保人力、备件、工具等资源到位。</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3.重大决策：在发生严重中断事件时，指挥应急响应，协调公司层面支持。</w:t>
            </w:r>
          </w:p>
        </w:tc>
      </w:tr>
      <w:tr w14:paraId="305CC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921" w:type="dxa"/>
            <w:tcBorders>
              <w:top w:val="single" w:color="auto" w:sz="4" w:space="0"/>
              <w:left w:val="single" w:color="auto" w:sz="12" w:space="0"/>
              <w:bottom w:val="nil"/>
              <w:right w:val="nil"/>
            </w:tcBorders>
            <w:shd w:val="clear" w:color="auto" w:fill="FFFFFF"/>
            <w:noWrap w:val="0"/>
            <w:tcMar>
              <w:top w:w="120" w:type="dxa"/>
              <w:left w:w="-1" w:type="dxa"/>
              <w:bottom w:w="120" w:type="dxa"/>
              <w:right w:w="192" w:type="dxa"/>
            </w:tcMar>
            <w:vAlign w:val="center"/>
          </w:tcPr>
          <w:p w14:paraId="5E4E7F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运维项目经理</w:t>
            </w:r>
          </w:p>
        </w:tc>
        <w:tc>
          <w:tcPr>
            <w:tcW w:w="6574" w:type="dxa"/>
            <w:tcBorders>
              <w:top w:val="single" w:color="auto" w:sz="4" w:space="0"/>
              <w:left w:val="single" w:color="auto" w:sz="4" w:space="0"/>
              <w:bottom w:val="nil"/>
              <w:right w:val="single" w:color="auto" w:sz="12" w:space="0"/>
            </w:tcBorders>
            <w:shd w:val="clear" w:color="auto" w:fill="FFFFFF"/>
            <w:noWrap w:val="0"/>
            <w:tcMar>
              <w:top w:w="120" w:type="dxa"/>
              <w:left w:w="192" w:type="dxa"/>
              <w:bottom w:w="120" w:type="dxa"/>
              <w:right w:w="-1" w:type="dxa"/>
            </w:tcMar>
            <w:vAlign w:val="center"/>
          </w:tcPr>
          <w:p w14:paraId="209DEA6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bidi="ar"/>
              </w:rPr>
            </w:pPr>
            <w:r>
              <w:rPr>
                <w:rFonts w:hint="default" w:ascii="Segoe UI" w:hAnsi="Segoe UI" w:eastAsia="Segoe UI" w:cs="Segoe UI"/>
                <w:i w:val="0"/>
                <w:iCs w:val="0"/>
                <w:caps w:val="0"/>
                <w:snapToGrid w:val="0"/>
                <w:color w:val="000000"/>
                <w:spacing w:val="0"/>
                <w:kern w:val="0"/>
                <w:sz w:val="18"/>
                <w:szCs w:val="18"/>
                <w:lang w:val="en-US" w:eastAsia="zh-CN" w:bidi="ar"/>
              </w:rPr>
              <w:t>1.现场执行负责人：负责本计划在现场的全面落地与日常执行。</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2.计划制定与测试：组织编制《业务连续性应急预案》，并至少每年组织一次演练。</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3.指标监控：实时监控运行状态，分析数据，采取措施确保季度指标达成。</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4.团队管理：管理现场运维团队，组织培训，确保人人熟知流程与职责。</w:t>
            </w:r>
          </w:p>
        </w:tc>
      </w:tr>
      <w:tr w14:paraId="3BE4D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921" w:type="dxa"/>
            <w:tcBorders>
              <w:top w:val="single" w:color="auto" w:sz="4" w:space="0"/>
              <w:left w:val="single" w:color="auto" w:sz="12" w:space="0"/>
              <w:bottom w:val="nil"/>
              <w:right w:val="nil"/>
            </w:tcBorders>
            <w:shd w:val="clear" w:color="auto" w:fill="FFFFFF"/>
            <w:noWrap w:val="0"/>
            <w:tcMar>
              <w:top w:w="120" w:type="dxa"/>
              <w:left w:w="-1" w:type="dxa"/>
              <w:bottom w:w="120" w:type="dxa"/>
              <w:right w:w="192" w:type="dxa"/>
            </w:tcMar>
            <w:vAlign w:val="center"/>
          </w:tcPr>
          <w:p w14:paraId="340F97D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运维实施工程师</w:t>
            </w:r>
          </w:p>
        </w:tc>
        <w:tc>
          <w:tcPr>
            <w:tcW w:w="6574" w:type="dxa"/>
            <w:tcBorders>
              <w:top w:val="single" w:color="auto" w:sz="4" w:space="0"/>
              <w:left w:val="single" w:color="auto" w:sz="4" w:space="0"/>
              <w:bottom w:val="nil"/>
              <w:right w:val="single" w:color="auto" w:sz="12" w:space="0"/>
            </w:tcBorders>
            <w:shd w:val="clear" w:color="auto" w:fill="FFFFFF"/>
            <w:noWrap w:val="0"/>
            <w:tcMar>
              <w:top w:w="120" w:type="dxa"/>
              <w:left w:w="192" w:type="dxa"/>
              <w:bottom w:w="120" w:type="dxa"/>
              <w:right w:w="-1" w:type="dxa"/>
            </w:tcMar>
            <w:vAlign w:val="center"/>
          </w:tcPr>
          <w:p w14:paraId="789963F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bidi="ar"/>
              </w:rPr>
            </w:pPr>
            <w:r>
              <w:rPr>
                <w:rFonts w:hint="default" w:ascii="Segoe UI" w:hAnsi="Segoe UI" w:eastAsia="Segoe UI" w:cs="Segoe UI"/>
                <w:i w:val="0"/>
                <w:iCs w:val="0"/>
                <w:caps w:val="0"/>
                <w:snapToGrid w:val="0"/>
                <w:color w:val="000000"/>
                <w:spacing w:val="0"/>
                <w:kern w:val="0"/>
                <w:sz w:val="18"/>
                <w:szCs w:val="18"/>
                <w:lang w:val="en-US" w:eastAsia="zh-CN" w:bidi="ar"/>
              </w:rPr>
              <w:t>1.一线执行者：负责所有现场设备的巡检、维护、故障诊断与修复工作。</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2.快速恢复：接到指令后，严格按照SLA要求（主合同约定）进行故障处理，是保障“业务可用性”的直接操作人。</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3.数据记录：准确、完整地记录维护、故障处理过程和结果，为指标计算提供基础数据。</w:t>
            </w:r>
          </w:p>
        </w:tc>
      </w:tr>
      <w:tr w14:paraId="12F3C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921" w:type="dxa"/>
            <w:tcBorders>
              <w:top w:val="single" w:color="auto" w:sz="4" w:space="0"/>
              <w:left w:val="single" w:color="auto" w:sz="12" w:space="0"/>
              <w:bottom w:val="single" w:color="auto" w:sz="12" w:space="0"/>
              <w:right w:val="nil"/>
            </w:tcBorders>
            <w:shd w:val="clear" w:color="auto" w:fill="FFFFFF"/>
            <w:noWrap w:val="0"/>
            <w:tcMar>
              <w:top w:w="120" w:type="dxa"/>
              <w:left w:w="-1" w:type="dxa"/>
              <w:bottom w:w="120" w:type="dxa"/>
              <w:right w:w="192" w:type="dxa"/>
            </w:tcMar>
            <w:vAlign w:val="center"/>
          </w:tcPr>
          <w:p w14:paraId="396D94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bdr w:val="none" w:color="auto" w:sz="0" w:space="0"/>
                <w:lang w:val="en-US" w:eastAsia="zh-CN" w:bidi="ar"/>
              </w:rPr>
              <w:t>服务台</w:t>
            </w:r>
          </w:p>
        </w:tc>
        <w:tc>
          <w:tcPr>
            <w:tcW w:w="6574" w:type="dxa"/>
            <w:tcBorders>
              <w:top w:val="single" w:color="auto" w:sz="4" w:space="0"/>
              <w:left w:val="single" w:color="auto" w:sz="4" w:space="0"/>
              <w:bottom w:val="single" w:color="auto" w:sz="12" w:space="0"/>
              <w:right w:val="single" w:color="auto" w:sz="12" w:space="0"/>
            </w:tcBorders>
            <w:shd w:val="clear" w:color="auto" w:fill="FFFFFF"/>
            <w:noWrap w:val="0"/>
            <w:tcMar>
              <w:top w:w="120" w:type="dxa"/>
              <w:left w:w="192" w:type="dxa"/>
              <w:bottom w:w="120" w:type="dxa"/>
              <w:right w:w="-1" w:type="dxa"/>
            </w:tcMar>
            <w:vAlign w:val="center"/>
          </w:tcPr>
          <w:p w14:paraId="1B88693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bidi="ar"/>
              </w:rPr>
            </w:pPr>
            <w:r>
              <w:rPr>
                <w:rFonts w:hint="default" w:ascii="Segoe UI" w:hAnsi="Segoe UI" w:eastAsia="Segoe UI" w:cs="Segoe UI"/>
                <w:i w:val="0"/>
                <w:iCs w:val="0"/>
                <w:caps w:val="0"/>
                <w:snapToGrid w:val="0"/>
                <w:color w:val="000000"/>
                <w:spacing w:val="0"/>
                <w:kern w:val="0"/>
                <w:sz w:val="18"/>
                <w:szCs w:val="18"/>
                <w:lang w:val="en-US" w:eastAsia="zh-CN" w:bidi="ar"/>
              </w:rPr>
              <w:t>1.统一接口：作为对外的唯一服务窗口，7x24小时接收所有用户咨询和故障报告。</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2.事件管控：记录、分类、分派每一个事件，并跟踪闭环。准确界定并记录每一次“服务连续性事件”。</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3.信息枢纽：在中断事件发生时，按预案向用户发布通知，并向内部通报进展。</w:t>
            </w:r>
          </w:p>
        </w:tc>
      </w:tr>
    </w:tbl>
    <w:p w14:paraId="5E00F91A">
      <w:pPr>
        <w:pStyle w:val="28"/>
        <w:bidi w:val="0"/>
        <w:rPr>
          <w:rFonts w:hint="eastAsia"/>
          <w:lang w:val="en-US" w:eastAsia="zh-CN"/>
        </w:rPr>
      </w:pPr>
      <w:bookmarkStart w:id="10" w:name="_Toc31034"/>
      <w:r>
        <w:rPr>
          <w:rFonts w:hint="eastAsia"/>
          <w:lang w:val="en-US" w:eastAsia="zh-CN"/>
        </w:rPr>
        <w:t>核心管理流程与措施</w:t>
      </w:r>
      <w:bookmarkEnd w:id="10"/>
    </w:p>
    <w:p w14:paraId="562C1666">
      <w:pPr>
        <w:pStyle w:val="30"/>
        <w:bidi w:val="0"/>
        <w:rPr>
          <w:rFonts w:hint="default"/>
          <w:lang w:val="en-US" w:eastAsia="zh-CN"/>
        </w:rPr>
      </w:pPr>
      <w:bookmarkStart w:id="11" w:name="_Toc10051"/>
      <w:r>
        <w:rPr>
          <w:rFonts w:hint="default"/>
          <w:lang w:val="en-US" w:eastAsia="zh-CN"/>
        </w:rPr>
        <w:t>服务可用性保障流程</w:t>
      </w:r>
      <w:bookmarkEnd w:id="11"/>
    </w:p>
    <w:p w14:paraId="132212E5">
      <w:pPr>
        <w:pStyle w:val="29"/>
        <w:rPr>
          <w:rFonts w:hint="default"/>
          <w:lang w:val="en-US" w:eastAsia="zh-CN"/>
        </w:rPr>
      </w:pPr>
      <w:r>
        <w:rPr>
          <w:rFonts w:hint="default"/>
          <w:lang w:val="en-US" w:eastAsia="zh-CN"/>
        </w:rPr>
        <w:t>监控与告警：通过集中监控平台对充电桩、网络、电力等关键指标进行7x24小时监控，异常情况自动告警至服务台和运维实施工程师。</w:t>
      </w:r>
    </w:p>
    <w:p w14:paraId="0F68A80F">
      <w:pPr>
        <w:pStyle w:val="29"/>
        <w:rPr>
          <w:rFonts w:hint="default"/>
          <w:lang w:val="en-US" w:eastAsia="zh-CN"/>
        </w:rPr>
      </w:pPr>
      <w:r>
        <w:rPr>
          <w:rFonts w:hint="default"/>
          <w:lang w:val="en-US" w:eastAsia="zh-CN"/>
        </w:rPr>
        <w:t>事件处理：服务台创建事件工单并派发，运维实施工程师按既定SOP进行远程或现场处理，目标是最小化单次故障的不可用时间，从而保障季度业务可用性≥99%。</w:t>
      </w:r>
    </w:p>
    <w:p w14:paraId="49D9C6F7">
      <w:pPr>
        <w:pStyle w:val="29"/>
        <w:rPr>
          <w:rFonts w:hint="default"/>
          <w:lang w:val="en-US" w:eastAsia="zh-CN"/>
        </w:rPr>
      </w:pPr>
      <w:r>
        <w:rPr>
          <w:rFonts w:hint="default"/>
          <w:lang w:val="en-US" w:eastAsia="zh-CN"/>
        </w:rPr>
        <w:t>预防性维护：运维项目经理制定年度/月度预防性维护计划，由运维实施工程师执行，以预防故障，提升系统整体可靠性。</w:t>
      </w:r>
    </w:p>
    <w:p w14:paraId="5CF2BF87">
      <w:pPr>
        <w:pStyle w:val="30"/>
        <w:bidi w:val="0"/>
        <w:rPr>
          <w:rFonts w:hint="default"/>
          <w:lang w:val="en-US" w:eastAsia="zh-CN"/>
        </w:rPr>
      </w:pPr>
      <w:bookmarkStart w:id="12" w:name="_Toc22334"/>
      <w:r>
        <w:rPr>
          <w:rFonts w:hint="default"/>
          <w:lang w:val="en-US" w:eastAsia="zh-CN"/>
        </w:rPr>
        <w:t>业务连续性管理流程</w:t>
      </w:r>
      <w:bookmarkEnd w:id="12"/>
    </w:p>
    <w:p w14:paraId="3AF363C9">
      <w:pPr>
        <w:pStyle w:val="29"/>
        <w:rPr>
          <w:rFonts w:hint="default"/>
          <w:lang w:val="en-US" w:eastAsia="zh-CN"/>
        </w:rPr>
      </w:pPr>
      <w:r>
        <w:rPr>
          <w:rFonts w:hint="default"/>
          <w:lang w:val="en-US" w:eastAsia="zh-CN"/>
        </w:rPr>
        <w:t>计划制定：运维项目经理牵头，依据《制度》进行风险分析，编制《充电站系统业务连续性应急预案》，明确不同场景（如单站故障、区域停电）的恢复步骤和指挥链条，报运维部经理审批。</w:t>
      </w:r>
    </w:p>
    <w:p w14:paraId="2D5A5092">
      <w:pPr>
        <w:pStyle w:val="29"/>
        <w:rPr>
          <w:rFonts w:hint="default"/>
          <w:lang w:val="en-US" w:eastAsia="zh-CN"/>
        </w:rPr>
      </w:pPr>
      <w:r>
        <w:rPr>
          <w:rFonts w:hint="default"/>
          <w:lang w:val="en-US" w:eastAsia="zh-CN"/>
        </w:rPr>
        <w:t>预案测试与演练：每年至少进行一次实战演练或桌面推演，检验预案有效性，培训团队，目标是增强应对能力，确保将服务连续性事件控制在≤2次/季度。</w:t>
      </w:r>
    </w:p>
    <w:p w14:paraId="586B9AD0">
      <w:pPr>
        <w:pStyle w:val="29"/>
        <w:rPr>
          <w:rFonts w:hint="default"/>
          <w:lang w:val="en-US" w:eastAsia="zh-CN"/>
        </w:rPr>
      </w:pPr>
      <w:r>
        <w:rPr>
          <w:rFonts w:hint="default"/>
          <w:lang w:val="en-US" w:eastAsia="zh-CN"/>
        </w:rPr>
        <w:t>事件响应：当发生符合定义的连续性事件时，自动启动应急预案。服务台负责信息通报，运维项目经理现场指挥，运维实施工程师执行恢复操作，运维部经理提供后方支持。</w:t>
      </w:r>
    </w:p>
    <w:p w14:paraId="58AD95B5">
      <w:pPr>
        <w:pStyle w:val="28"/>
        <w:bidi w:val="0"/>
        <w:rPr>
          <w:rFonts w:hint="default"/>
          <w:lang w:val="en-US" w:eastAsia="zh-CN"/>
        </w:rPr>
      </w:pPr>
      <w:bookmarkStart w:id="13" w:name="_Toc10232"/>
      <w:r>
        <w:rPr>
          <w:rFonts w:hint="default"/>
          <w:lang w:val="en-US" w:eastAsia="zh-CN"/>
        </w:rPr>
        <w:t>关键资源保障</w:t>
      </w:r>
      <w:bookmarkEnd w:id="13"/>
    </w:p>
    <w:p w14:paraId="6C7BF316">
      <w:pPr>
        <w:pStyle w:val="29"/>
        <w:rPr>
          <w:rFonts w:hint="default"/>
          <w:lang w:val="en-US" w:eastAsia="zh-CN"/>
        </w:rPr>
      </w:pPr>
      <w:r>
        <w:rPr>
          <w:rFonts w:hint="default"/>
          <w:lang w:val="en-US" w:eastAsia="zh-CN"/>
        </w:rPr>
        <w:t>人员：确保核心岗位人员配置到位并保持稳定。</w:t>
      </w:r>
    </w:p>
    <w:p w14:paraId="63EA2F92">
      <w:pPr>
        <w:pStyle w:val="29"/>
        <w:rPr>
          <w:rFonts w:hint="default"/>
          <w:lang w:val="en-US" w:eastAsia="zh-CN"/>
        </w:rPr>
      </w:pPr>
      <w:r>
        <w:rPr>
          <w:rFonts w:hint="default"/>
          <w:lang w:val="en-US" w:eastAsia="zh-CN"/>
        </w:rPr>
        <w:t>备件：在项目所在地设立或合作设立关键备件库（清单见附件），确保常见故障的备件可在4小时内获取。</w:t>
      </w:r>
    </w:p>
    <w:p w14:paraId="40DA6AC0">
      <w:pPr>
        <w:pStyle w:val="29"/>
        <w:rPr>
          <w:rFonts w:hint="default"/>
          <w:lang w:val="en-US" w:eastAsia="zh-CN"/>
        </w:rPr>
      </w:pPr>
      <w:r>
        <w:rPr>
          <w:rFonts w:hint="default"/>
          <w:lang w:val="en-US" w:eastAsia="zh-CN"/>
        </w:rPr>
        <w:t>工具与文档：配备必要的诊断工具、运维手册和应急预案文档，确保团队可高效工作。</w:t>
      </w:r>
    </w:p>
    <w:p w14:paraId="03E9C8FB">
      <w:pPr>
        <w:pStyle w:val="28"/>
        <w:bidi w:val="0"/>
        <w:rPr>
          <w:rFonts w:hint="default"/>
          <w:lang w:val="en-US" w:eastAsia="zh-CN"/>
        </w:rPr>
      </w:pPr>
      <w:bookmarkStart w:id="14" w:name="_Toc9978"/>
      <w:r>
        <w:rPr>
          <w:rFonts w:hint="default"/>
          <w:lang w:val="en-US" w:eastAsia="zh-CN"/>
        </w:rPr>
        <w:t>附件</w:t>
      </w:r>
      <w:bookmarkEnd w:id="14"/>
    </w:p>
    <w:p w14:paraId="4F1A0B4B">
      <w:pPr>
        <w:pStyle w:val="29"/>
        <w:rPr>
          <w:rFonts w:hint="default"/>
          <w:lang w:val="en-US" w:eastAsia="zh-CN"/>
        </w:rPr>
      </w:pPr>
      <w:r>
        <w:rPr>
          <w:rFonts w:hint="default"/>
          <w:lang w:val="en-US" w:eastAsia="zh-CN"/>
        </w:rPr>
        <w:t>《盐都区充电站项目关键备件清单》</w:t>
      </w:r>
    </w:p>
    <w:p w14:paraId="0B70DA90">
      <w:pPr>
        <w:pStyle w:val="29"/>
        <w:rPr>
          <w:rFonts w:hint="default"/>
          <w:lang w:val="en-US" w:eastAsia="zh-CN"/>
        </w:rPr>
      </w:pPr>
      <w:r>
        <w:rPr>
          <w:rFonts w:hint="default"/>
          <w:lang w:val="en-US" w:eastAsia="zh-CN"/>
        </w:rPr>
        <w:t>《充电站系统业务连续性应急预案》</w:t>
      </w:r>
    </w:p>
    <w:p w14:paraId="48F9A7E7">
      <w:pPr>
        <w:pStyle w:val="29"/>
        <w:rPr>
          <w:rFonts w:hint="default"/>
          <w:lang w:val="en-US" w:eastAsia="zh-CN"/>
        </w:rPr>
      </w:pPr>
      <w:r>
        <w:rPr>
          <w:rFonts w:hint="default"/>
          <w:lang w:val="en-US" w:eastAsia="zh-CN"/>
        </w:rPr>
        <w:t>《服务可用性与连续性季度报告》模板</w:t>
      </w:r>
    </w:p>
    <w:bookmarkEnd w:id="15"/>
    <w:sectPr>
      <w:headerReference r:id="rId5" w:type="default"/>
      <w:footerReference r:id="rId6" w:type="default"/>
      <w:pgSz w:w="11906" w:h="16838"/>
      <w:pgMar w:top="1440" w:right="1800" w:bottom="1440" w:left="1800" w:header="0" w:footer="99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C80F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5220A">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9A13B3"/>
    <w:rsid w:val="01791910"/>
    <w:rsid w:val="08AA44F4"/>
    <w:rsid w:val="0E3A2285"/>
    <w:rsid w:val="0E7C3CF1"/>
    <w:rsid w:val="0FE443F8"/>
    <w:rsid w:val="11D04992"/>
    <w:rsid w:val="12064188"/>
    <w:rsid w:val="12C27C3B"/>
    <w:rsid w:val="12E44CE8"/>
    <w:rsid w:val="1D64304A"/>
    <w:rsid w:val="20BE73A1"/>
    <w:rsid w:val="22611685"/>
    <w:rsid w:val="27974C34"/>
    <w:rsid w:val="29C830FC"/>
    <w:rsid w:val="2B1E0CAF"/>
    <w:rsid w:val="30F73B34"/>
    <w:rsid w:val="325D3E6B"/>
    <w:rsid w:val="38F848ED"/>
    <w:rsid w:val="390936D6"/>
    <w:rsid w:val="3A5D3099"/>
    <w:rsid w:val="3DC92CFC"/>
    <w:rsid w:val="4225102D"/>
    <w:rsid w:val="42E63A08"/>
    <w:rsid w:val="438601E4"/>
    <w:rsid w:val="49EB5DA8"/>
    <w:rsid w:val="4A5B1180"/>
    <w:rsid w:val="4A6F0787"/>
    <w:rsid w:val="4C2725D5"/>
    <w:rsid w:val="4C475FD9"/>
    <w:rsid w:val="4CEA1CF0"/>
    <w:rsid w:val="50016325"/>
    <w:rsid w:val="51D02121"/>
    <w:rsid w:val="5340709B"/>
    <w:rsid w:val="543D5452"/>
    <w:rsid w:val="62C0797A"/>
    <w:rsid w:val="69070C28"/>
    <w:rsid w:val="6D1014FE"/>
    <w:rsid w:val="758049DE"/>
    <w:rsid w:val="75846F2D"/>
    <w:rsid w:val="77297D8C"/>
    <w:rsid w:val="7CAC1243"/>
    <w:rsid w:val="7DC343F9"/>
    <w:rsid w:val="7EBB49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19"/>
    <w:qFormat/>
    <w:uiPriority w:val="0"/>
    <w:pPr>
      <w:spacing w:after="900" w:afterLines="900"/>
    </w:pPr>
    <w:rPr>
      <w:rFonts w:ascii="黑体" w:hAnsi="黑体" w:eastAsia="黑体" w:cs="黑体"/>
      <w:bCs/>
      <w:spacing w:val="-7"/>
      <w:sz w:val="52"/>
      <w:szCs w:val="52"/>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2096</Words>
  <Characters>2377</Characters>
  <Lines>0</Lines>
  <Paragraphs>0</Paragraphs>
  <TotalTime>0</TotalTime>
  <ScaleCrop>false</ScaleCrop>
  <LinksUpToDate>false</LinksUpToDate>
  <CharactersWithSpaces>2453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2025-08-21T06:31:00Z</dcterms:created>
  <dc:creator>18442</dc:creator>
  <cp:lastModifiedBy>郝宇</cp:lastModifiedBy>
  <dcterms:modified xsi:type="dcterms:W3CDTF">2026-02-07T15:51:03Z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2025-08-21T14:29:57Z</vt:filetime>
  </property>
  <property fmtid="{D5CDD505-2E9C-101B-9397-08002B2CF9AE}" pid="3" name="CRO">
    <vt:lpwstr>wqlLaW5nc29mdCBQREYgdG8gV1BTIDExNQ</vt:lpwstr>
  </property>
  <property fmtid="{D5CDD505-2E9C-101B-9397-08002B2CF9AE}" pid="4" name="ICV">
    <vt:lpwstr>6EEDEB6CDA2C404BA91D0B02197B4709_12</vt:lpwstr>
  </property>
  <property fmtid="{D5CDD505-2E9C-101B-9397-08002B2CF9AE}" pid="5" name="KSOProductBuildVer">
    <vt:lpwstr>2052-12.1.0.25225</vt:lpwstr>
  </property>
  <property fmtid="{D5CDD505-2E9C-101B-9397-08002B2CF9AE}" pid="6" name="KSOTemplateDocerSaveRecord">
    <vt:lpwstr>eyJoZGlkIjoiZWI4NmUzMGY2ODA3MDc4ZTFlMjZjZTAyMjM0NmVmODgiLCJ1c2VySWQiOiIxMDc1MzgyOSJ9</vt:lpwstr>
  </property>
</Properties>
</file>