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7BFAB">
      <w:pPr>
        <w:pStyle w:val="31"/>
        <w:bidi w:val="0"/>
      </w:pPr>
    </w:p>
    <w:p w14:paraId="43D2F22A">
      <w:pPr>
        <w:pStyle w:val="31"/>
        <w:bidi w:val="0"/>
      </w:pPr>
      <w:bookmarkStart w:id="0" w:name="_Toc1632"/>
      <w:r>
        <w:t>服务知识管理制度</w:t>
      </w:r>
      <w:bookmarkEnd w:id="0"/>
    </w:p>
    <w:p w14:paraId="7E228B25">
      <w:pPr>
        <w:pStyle w:val="32"/>
        <w:bidi w:val="0"/>
      </w:pPr>
      <w:bookmarkStart w:id="1" w:name="_Toc9086"/>
      <w:r>
        <w:t>中达丰集团有限公司</w:t>
      </w:r>
      <w:bookmarkEnd w:id="1"/>
    </w:p>
    <w:p w14:paraId="71BD72D9">
      <w:pPr>
        <w:bidi w:val="0"/>
        <w:ind w:left="0" w:leftChars="0" w:right="0" w:rightChars="0" w:firstLine="0" w:firstLineChars="0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2025年4月4日</w:t>
      </w:r>
      <w:r>
        <w:rPr>
          <w:rFonts w:hint="eastAsia" w:ascii="宋体" w:hAnsi="宋体" w:eastAsia="宋体" w:cs="宋体"/>
          <w:b w:val="0"/>
          <w:bCs w:val="0"/>
          <w:color w:val="333333"/>
          <w:spacing w:val="-8"/>
          <w:sz w:val="36"/>
          <w:szCs w:val="36"/>
        </w:rPr>
        <w:br w:type="page"/>
      </w: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413FB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0475EC07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9926737">
            <w:pPr>
              <w:spacing w:before="200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服务知识管理制度</w:t>
            </w:r>
            <w:r>
              <w:rPr>
                <w:rFonts w:ascii="宋体" w:hAnsi="宋体" w:eastAsia="宋体" w:cs="宋体"/>
                <w:sz w:val="21"/>
                <w:szCs w:val="21"/>
              </w:rPr>
              <w:t>（ZDFJT-IT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SS-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lang w:val="en-US" w:eastAsia="zh-CN"/>
              </w:rPr>
              <w:t>FWZSGL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）</w:t>
            </w:r>
          </w:p>
        </w:tc>
      </w:tr>
      <w:tr w14:paraId="1F6F4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345A67B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53E9B51B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中达丰集团有限公司</w:t>
            </w:r>
          </w:p>
        </w:tc>
      </w:tr>
      <w:tr w14:paraId="18572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1BE4D7E5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398822C4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4BF4D06D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30E1E0B3">
            <w:pPr>
              <w:spacing w:before="199" w:line="220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1C336CA7">
            <w:pPr>
              <w:spacing w:before="199" w:line="220" w:lineRule="auto"/>
              <w:ind w:left="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02839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B769F1B">
            <w:pPr>
              <w:spacing w:before="163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6BD402B3">
            <w:pPr>
              <w:spacing w:before="163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2" w:type="dxa"/>
          </w:tcPr>
          <w:p w14:paraId="7CB38639">
            <w:pPr>
              <w:spacing w:before="132" w:line="219" w:lineRule="auto"/>
              <w:ind w:left="7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6AC4A26D">
            <w:pPr>
              <w:spacing w:before="134" w:line="228" w:lineRule="auto"/>
              <w:ind w:left="576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60E2DEB2">
            <w:pPr>
              <w:spacing w:before="133" w:line="220" w:lineRule="auto"/>
              <w:ind w:left="6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吴向阳</w:t>
            </w:r>
          </w:p>
        </w:tc>
      </w:tr>
      <w:tr w14:paraId="793F5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4AFDE070">
            <w:pPr>
              <w:pStyle w:val="25"/>
            </w:pPr>
          </w:p>
        </w:tc>
        <w:tc>
          <w:tcPr>
            <w:tcW w:w="1413" w:type="dxa"/>
          </w:tcPr>
          <w:p w14:paraId="0B6E7787">
            <w:pPr>
              <w:pStyle w:val="25"/>
            </w:pPr>
          </w:p>
        </w:tc>
        <w:tc>
          <w:tcPr>
            <w:tcW w:w="2302" w:type="dxa"/>
          </w:tcPr>
          <w:p w14:paraId="68D33D65">
            <w:pPr>
              <w:pStyle w:val="25"/>
            </w:pPr>
          </w:p>
        </w:tc>
        <w:tc>
          <w:tcPr>
            <w:tcW w:w="1557" w:type="dxa"/>
          </w:tcPr>
          <w:p w14:paraId="5E61C622">
            <w:pPr>
              <w:pStyle w:val="25"/>
            </w:pPr>
          </w:p>
        </w:tc>
        <w:tc>
          <w:tcPr>
            <w:tcW w:w="1953" w:type="dxa"/>
          </w:tcPr>
          <w:p w14:paraId="3CE57001">
            <w:pPr>
              <w:pStyle w:val="25"/>
            </w:pPr>
          </w:p>
        </w:tc>
      </w:tr>
      <w:tr w14:paraId="67800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215F419F">
            <w:pPr>
              <w:pStyle w:val="25"/>
            </w:pPr>
          </w:p>
        </w:tc>
        <w:tc>
          <w:tcPr>
            <w:tcW w:w="1413" w:type="dxa"/>
          </w:tcPr>
          <w:p w14:paraId="7056DB5A">
            <w:pPr>
              <w:pStyle w:val="25"/>
            </w:pPr>
          </w:p>
        </w:tc>
        <w:tc>
          <w:tcPr>
            <w:tcW w:w="2302" w:type="dxa"/>
          </w:tcPr>
          <w:p w14:paraId="2E33E638">
            <w:pPr>
              <w:pStyle w:val="25"/>
            </w:pPr>
          </w:p>
        </w:tc>
        <w:tc>
          <w:tcPr>
            <w:tcW w:w="1557" w:type="dxa"/>
          </w:tcPr>
          <w:p w14:paraId="5BFD5547">
            <w:pPr>
              <w:pStyle w:val="25"/>
            </w:pPr>
          </w:p>
        </w:tc>
        <w:tc>
          <w:tcPr>
            <w:tcW w:w="1953" w:type="dxa"/>
          </w:tcPr>
          <w:p w14:paraId="08B937E9">
            <w:pPr>
              <w:pStyle w:val="25"/>
            </w:pPr>
          </w:p>
        </w:tc>
      </w:tr>
    </w:tbl>
    <w:p w14:paraId="077D3912">
      <w:pP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07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</w:sdtEndPr>
      <w:sdtContent>
        <w:p w14:paraId="1A9FFA7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79DDAFB2">
          <w:pPr>
            <w:pStyle w:val="16"/>
            <w:tabs>
              <w:tab w:val="right" w:leader="dot" w:pos="8886"/>
            </w:tabs>
          </w:pPr>
          <w:bookmarkStart w:id="22" w:name="_GoBack"/>
          <w:bookmarkEnd w:id="22"/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b/>
              <w:bCs/>
              <w:color w:val="333333"/>
              <w:spacing w:val="-8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_Toc1632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t>服务知识管理制度</w:t>
          </w:r>
          <w:r>
            <w:tab/>
          </w:r>
          <w:r>
            <w:fldChar w:fldCharType="begin"/>
          </w:r>
          <w:r>
            <w:instrText xml:space="preserve"> PAGEREF _Toc1632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407A3E04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_Toc9086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_Toc9086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2423D48E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_Toc10134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目的与范围</w:t>
          </w:r>
          <w:r>
            <w:tab/>
          </w:r>
          <w:r>
            <w:fldChar w:fldCharType="begin"/>
          </w:r>
          <w:r>
            <w:instrText xml:space="preserve"> PAGEREF _Toc10134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462ED91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_Toc6050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E6217AC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_Toc26226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_Toc26226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B7FF527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_Toc8536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_Toc8536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00BB5DF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_Toc11797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职责与角色</w:t>
          </w:r>
          <w:r>
            <w:tab/>
          </w:r>
          <w:r>
            <w:fldChar w:fldCharType="begin"/>
          </w:r>
          <w:r>
            <w:instrText xml:space="preserve"> PAGEREF _Toc11797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4CBCECC1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_Toc30019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知识的分类</w:t>
          </w:r>
          <w:r>
            <w:tab/>
          </w:r>
          <w:r>
            <w:fldChar w:fldCharType="begin"/>
          </w:r>
          <w:r>
            <w:instrText xml:space="preserve"> PAGEREF _Toc30019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4A42570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_Toc9845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服务知识生命周期管理流程</w:t>
          </w:r>
          <w:r>
            <w:tab/>
          </w:r>
          <w:r>
            <w:fldChar w:fldCharType="begin"/>
          </w:r>
          <w:r>
            <w:instrText xml:space="preserve"> PAGEREF _Toc9845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BC46F37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_Toc20957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知识的识别与收集</w:t>
          </w:r>
          <w:r>
            <w:tab/>
          </w:r>
          <w:r>
            <w:fldChar w:fldCharType="begin"/>
          </w:r>
          <w:r>
            <w:instrText xml:space="preserve"> PAGEREF _Toc20957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36D12660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_Toc22811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知识的发起</w:t>
          </w:r>
          <w:r>
            <w:tab/>
          </w:r>
          <w:r>
            <w:fldChar w:fldCharType="begin"/>
          </w:r>
          <w:r>
            <w:instrText xml:space="preserve"> PAGEREF _Toc22811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5E17C6AB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_Toc5046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知识的来源</w:t>
          </w:r>
          <w:r>
            <w:tab/>
          </w:r>
          <w:r>
            <w:fldChar w:fldCharType="begin"/>
          </w:r>
          <w:r>
            <w:instrText xml:space="preserve"> PAGEREF _Toc5046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8E1A716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_Toc27860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rPr>
              <w:rFonts w:hint="eastAsia"/>
            </w:rPr>
            <w:t>知识的加工整理</w:t>
          </w:r>
          <w:r>
            <w:tab/>
          </w:r>
          <w:r>
            <w:fldChar w:fldCharType="begin"/>
          </w:r>
          <w:r>
            <w:instrText xml:space="preserve"> PAGEREF _Toc27860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6879BFA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_Toc6366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rPr>
              <w:rFonts w:hint="eastAsia"/>
            </w:rPr>
            <w:t>知识的提交</w:t>
          </w:r>
          <w:r>
            <w:tab/>
          </w:r>
          <w:r>
            <w:fldChar w:fldCharType="begin"/>
          </w:r>
          <w:r>
            <w:instrText xml:space="preserve"> PAGEREF _Toc6366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70F265F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_Toc14341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rPr>
              <w:rFonts w:hint="eastAsia"/>
            </w:rPr>
            <w:t>知识的分类</w:t>
          </w:r>
          <w:r>
            <w:tab/>
          </w:r>
          <w:r>
            <w:fldChar w:fldCharType="begin"/>
          </w:r>
          <w:r>
            <w:instrText xml:space="preserve"> PAGEREF _Toc14341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81CD4BA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_Toc21615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rPr>
              <w:rFonts w:hint="eastAsia"/>
            </w:rPr>
            <w:t>知识点审核</w:t>
          </w:r>
          <w:r>
            <w:tab/>
          </w:r>
          <w:r>
            <w:fldChar w:fldCharType="begin"/>
          </w:r>
          <w:r>
            <w:instrText xml:space="preserve"> PAGEREF _Toc21615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7E79D962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_Toc9857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rPr>
              <w:rFonts w:hint="eastAsia"/>
            </w:rPr>
            <w:t>知识发布及有效性管理</w:t>
          </w:r>
          <w:r>
            <w:tab/>
          </w:r>
          <w:r>
            <w:fldChar w:fldCharType="begin"/>
          </w:r>
          <w:r>
            <w:instrText xml:space="preserve"> PAGEREF _Toc9857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73B72B3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_Toc15247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rPr>
              <w:rFonts w:hint="eastAsia"/>
            </w:rPr>
            <w:t>知识传播</w:t>
          </w:r>
          <w:r>
            <w:tab/>
          </w:r>
          <w:r>
            <w:fldChar w:fldCharType="begin"/>
          </w:r>
          <w:r>
            <w:instrText xml:space="preserve"> PAGEREF _Toc15247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23F6E19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_Toc5894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5.10. </w:t>
          </w:r>
          <w:r>
            <w:rPr>
              <w:rFonts w:hint="eastAsia"/>
            </w:rPr>
            <w:t>知识共享</w:t>
          </w:r>
          <w:r>
            <w:tab/>
          </w:r>
          <w:r>
            <w:fldChar w:fldCharType="begin"/>
          </w:r>
          <w:r>
            <w:instrText xml:space="preserve"> PAGEREF _Toc5894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025F0BE0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_Toc16232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5.11. </w:t>
          </w:r>
          <w:r>
            <w:rPr>
              <w:rFonts w:hint="eastAsia"/>
            </w:rPr>
            <w:t>知识更新</w:t>
          </w:r>
          <w:r>
            <w:tab/>
          </w:r>
          <w:r>
            <w:fldChar w:fldCharType="begin"/>
          </w:r>
          <w:r>
            <w:instrText xml:space="preserve"> PAGEREF _Toc16232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602E23E">
          <w:pPr>
            <w:pStyle w:val="17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_Toc13789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5.12. </w:t>
          </w:r>
          <w:r>
            <w:rPr>
              <w:rFonts w:hint="eastAsia"/>
            </w:rPr>
            <w:t>知识版本管理</w:t>
          </w:r>
          <w:r>
            <w:tab/>
          </w:r>
          <w:r>
            <w:fldChar w:fldCharType="begin"/>
          </w:r>
          <w:r>
            <w:instrText xml:space="preserve"> PAGEREF _Toc13789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14C0CD00">
          <w:pPr>
            <w:pStyle w:val="16"/>
            <w:tabs>
              <w:tab w:val="right" w:leader="dot" w:pos="8886"/>
            </w:tabs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instrText xml:space="preserve"> HYPERLINK \l _Toc25567 </w:instrText>
          </w:r>
          <w:r>
            <w:rPr>
              <w:rFonts w:hint="eastAsia" w:ascii="Microsoft JhengHei" w:hAnsi="Microsoft JhengHei" w:eastAsia="Microsoft JhengHei" w:cs="Microsoft JhengHei"/>
              <w:bCs/>
              <w:spacing w:val="-8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考核与奖惩</w:t>
          </w:r>
          <w:r>
            <w:tab/>
          </w:r>
          <w:r>
            <w:fldChar w:fldCharType="begin"/>
          </w:r>
          <w:r>
            <w:instrText xml:space="preserve"> PAGEREF _Toc25567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  <w:p w14:paraId="6155D99E">
          <w:pPr>
            <w:rPr>
              <w:rFonts w:hint="eastAsia" w:ascii="Microsoft JhengHei" w:hAnsi="Microsoft JhengHei" w:eastAsia="Microsoft JhengHei" w:cs="Microsoft JhengHei"/>
              <w:bCs/>
              <w:snapToGrid w:val="0"/>
              <w:color w:val="333333"/>
              <w:spacing w:val="-8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bCs/>
              <w:color w:val="333333"/>
              <w:spacing w:val="-8"/>
              <w:szCs w:val="24"/>
            </w:rPr>
            <w:fldChar w:fldCharType="end"/>
          </w:r>
        </w:p>
      </w:sdtContent>
    </w:sdt>
    <w:p w14:paraId="532CA4A6">
      <w:pPr>
        <w:rPr>
          <w:rFonts w:hint="eastAsia" w:ascii="宋体" w:hAnsi="宋体" w:eastAsia="宋体" w:cs="宋体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Cs/>
          <w:snapToGrid w:val="0"/>
          <w:color w:val="333333"/>
          <w:spacing w:val="-8"/>
          <w:kern w:val="0"/>
          <w:sz w:val="24"/>
          <w:szCs w:val="24"/>
          <w:lang w:val="en-US" w:eastAsia="en-US" w:bidi="ar-SA"/>
        </w:rPr>
        <w:br w:type="page"/>
      </w:r>
    </w:p>
    <w:p w14:paraId="305C89A9">
      <w:pPr>
        <w:pStyle w:val="26"/>
        <w:bidi w:val="0"/>
        <w:rPr>
          <w:rFonts w:hint="eastAsia"/>
        </w:rPr>
      </w:pPr>
      <w:bookmarkStart w:id="2" w:name="_Toc10134"/>
      <w:r>
        <w:rPr>
          <w:rFonts w:hint="eastAsia"/>
        </w:rPr>
        <w:t>目的与范围</w:t>
      </w:r>
      <w:bookmarkEnd w:id="2"/>
    </w:p>
    <w:p w14:paraId="5DC34BA1">
      <w:pPr>
        <w:pStyle w:val="28"/>
        <w:bidi w:val="0"/>
        <w:rPr>
          <w:rFonts w:hint="eastAsia"/>
        </w:rPr>
      </w:pPr>
      <w:bookmarkStart w:id="3" w:name="_Toc6050"/>
      <w:r>
        <w:rPr>
          <w:rFonts w:hint="eastAsia"/>
        </w:rPr>
        <w:t>目的</w:t>
      </w:r>
      <w:bookmarkEnd w:id="3"/>
    </w:p>
    <w:p w14:paraId="5F50EE61">
      <w:pPr>
        <w:pStyle w:val="27"/>
        <w:bidi w:val="0"/>
        <w:rPr>
          <w:rFonts w:hint="eastAsia"/>
        </w:rPr>
      </w:pPr>
      <w:r>
        <w:rPr>
          <w:rFonts w:hint="eastAsia"/>
        </w:rPr>
        <w:t>为规范公司信息技术服务过程中知识的获取、创建、共享、应用与退役的全生命周期管理，积累和固化服务经验，避免知识流失，提高服务效率与质量，降低服务风险，最终提升客户满意度，特制定本制度。</w:t>
      </w:r>
    </w:p>
    <w:p w14:paraId="62D15D18">
      <w:pPr>
        <w:pStyle w:val="28"/>
        <w:bidi w:val="0"/>
        <w:rPr>
          <w:rFonts w:hint="eastAsia"/>
        </w:rPr>
      </w:pPr>
      <w:bookmarkStart w:id="4" w:name="_Toc26226"/>
      <w:r>
        <w:rPr>
          <w:rFonts w:hint="eastAsia"/>
        </w:rPr>
        <w:t>范围</w:t>
      </w:r>
      <w:bookmarkEnd w:id="4"/>
    </w:p>
    <w:p w14:paraId="19C9D745">
      <w:pPr>
        <w:pStyle w:val="27"/>
        <w:bidi w:val="0"/>
        <w:rPr>
          <w:rFonts w:hint="eastAsia"/>
        </w:rPr>
      </w:pPr>
      <w:r>
        <w:rPr>
          <w:rFonts w:hint="eastAsia"/>
        </w:rPr>
        <w:t>本制度适用于公司内所有与</w:t>
      </w:r>
      <w:r>
        <w:rPr>
          <w:rFonts w:hint="eastAsia"/>
          <w:lang w:val="en-US" w:eastAsia="zh-CN"/>
        </w:rPr>
        <w:t>运维服务</w:t>
      </w:r>
      <w:r>
        <w:rPr>
          <w:rFonts w:hint="eastAsia"/>
        </w:rPr>
        <w:t>相关的部门及人员，包括但不限于运维部、</w:t>
      </w:r>
      <w:r>
        <w:rPr>
          <w:rFonts w:hint="eastAsia"/>
          <w:lang w:val="en-US" w:eastAsia="zh-CN"/>
        </w:rPr>
        <w:t>研发部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质量部</w:t>
      </w:r>
      <w:r>
        <w:rPr>
          <w:rFonts w:hint="eastAsia"/>
        </w:rPr>
        <w:t>及一线工程师。管理对象包括在服务过程中产生的所有技术方案、解决方案、经验总结、流程文档等显性知识。</w:t>
      </w:r>
    </w:p>
    <w:p w14:paraId="7C28E6CD">
      <w:pPr>
        <w:pStyle w:val="26"/>
        <w:bidi w:val="0"/>
        <w:rPr>
          <w:rFonts w:hint="eastAsia"/>
        </w:rPr>
      </w:pPr>
      <w:bookmarkStart w:id="5" w:name="_Toc8536"/>
      <w:r>
        <w:rPr>
          <w:rFonts w:hint="eastAsia"/>
        </w:rPr>
        <w:t>术语和定义</w:t>
      </w:r>
      <w:bookmarkEnd w:id="5"/>
    </w:p>
    <w:p w14:paraId="4A109419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服务知识</w:t>
      </w:r>
      <w:r>
        <w:rPr>
          <w:rFonts w:hint="eastAsia"/>
        </w:rPr>
        <w:t>：在信息技术服务提供过程中，用于解决问題、恢复服务、提升效率或支持决策的信息、经验、方案和技能的总和。其载体可以是文档、图表、脚本、代码片段、视频等。</w:t>
      </w:r>
    </w:p>
    <w:p w14:paraId="343C7E7F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知识条目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服务知识中</w:t>
      </w:r>
      <w:r>
        <w:rPr>
          <w:rFonts w:hint="eastAsia"/>
        </w:rPr>
        <w:t>独立存在、描述和解决一个特定问题或场景的最小知识单元。</w:t>
      </w:r>
    </w:p>
    <w:p w14:paraId="2AC31FFE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b/>
          <w:bCs/>
        </w:rPr>
        <w:t>知识生命周期</w:t>
      </w:r>
      <w:r>
        <w:rPr>
          <w:rFonts w:hint="eastAsia"/>
        </w:rPr>
        <w:t>：知识从识别、创建、审核、发布、使用、优化到退役的全过程</w:t>
      </w:r>
    </w:p>
    <w:p w14:paraId="1E638A2D">
      <w:pPr>
        <w:pStyle w:val="26"/>
        <w:bidi w:val="0"/>
        <w:rPr>
          <w:rFonts w:hint="eastAsia"/>
        </w:rPr>
      </w:pPr>
      <w:bookmarkStart w:id="6" w:name="_Toc11797"/>
      <w:r>
        <w:rPr>
          <w:rFonts w:hint="eastAsia"/>
        </w:rPr>
        <w:t>职责与角色</w:t>
      </w:r>
      <w:bookmarkEnd w:id="6"/>
    </w:p>
    <w:p w14:paraId="278F697E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所有服务人员：负责识别和提交知识，使用知识解决问题，并反馈知识的有效性。</w:t>
      </w:r>
    </w:p>
    <w:p w14:paraId="484EBA1C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服务知识管理员</w:t>
      </w:r>
      <w:r>
        <w:rPr>
          <w:rFonts w:hint="eastAsia"/>
        </w:rPr>
        <w:t>：负责本制度的推行与监督，管理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收集服务知识。</w:t>
      </w:r>
    </w:p>
    <w:p w14:paraId="7C69F8EE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服务知识经理</w:t>
      </w:r>
      <w:r>
        <w:rPr>
          <w:rFonts w:hint="eastAsia"/>
        </w:rPr>
        <w:t>：负责本制度的推行与监督，管理知识库，组织知识评审，监控知识质量与绩效，推广知识文化。</w:t>
      </w:r>
    </w:p>
    <w:p w14:paraId="140342E6">
      <w:pPr>
        <w:pStyle w:val="26"/>
        <w:bidi w:val="0"/>
        <w:rPr>
          <w:rFonts w:hint="eastAsia"/>
        </w:rPr>
      </w:pPr>
      <w:bookmarkStart w:id="7" w:name="_Toc30019"/>
      <w:r>
        <w:rPr>
          <w:rFonts w:hint="eastAsia"/>
        </w:rPr>
        <w:t>知识的分类</w:t>
      </w:r>
      <w:bookmarkEnd w:id="7"/>
    </w:p>
    <w:p w14:paraId="0842E786">
      <w:pPr>
        <w:pStyle w:val="12"/>
        <w:spacing w:before="217" w:line="188" w:lineRule="auto"/>
        <w:rPr>
          <w:rFonts w:hint="eastAsia" w:ascii="宋体" w:hAnsi="宋体" w:eastAsia="宋体" w:cs="宋体"/>
          <w:color w:val="333333"/>
          <w:spacing w:val="3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4"/>
          <w:sz w:val="24"/>
          <w:szCs w:val="24"/>
          <w:lang w:val="en-US" w:eastAsia="zh-CN"/>
        </w:rPr>
        <w:t>服务</w:t>
      </w:r>
      <w:r>
        <w:rPr>
          <w:rFonts w:hint="eastAsia" w:ascii="宋体" w:hAnsi="宋体" w:eastAsia="宋体" w:cs="宋体"/>
          <w:color w:val="333333"/>
          <w:spacing w:val="4"/>
          <w:sz w:val="24"/>
          <w:szCs w:val="24"/>
        </w:rPr>
        <w:t>知识目前分为以下三大类，每个大类下分若干子类，</w:t>
      </w: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t>具体分类如下：</w:t>
      </w:r>
    </w:p>
    <w:p w14:paraId="603CEE73">
      <w:pPr>
        <w:rPr>
          <w:rFonts w:hint="eastAsia" w:ascii="宋体" w:hAnsi="宋体" w:eastAsia="宋体" w:cs="宋体"/>
          <w:color w:val="333333"/>
          <w:spacing w:val="3"/>
          <w:sz w:val="24"/>
          <w:szCs w:val="24"/>
        </w:rPr>
      </w:pPr>
      <w:r>
        <w:rPr>
          <w:rFonts w:hint="eastAsia" w:ascii="宋体" w:hAnsi="宋体" w:eastAsia="宋体" w:cs="宋体"/>
          <w:color w:val="333333"/>
          <w:spacing w:val="3"/>
          <w:sz w:val="24"/>
          <w:szCs w:val="24"/>
        </w:rPr>
        <w:br w:type="page"/>
      </w:r>
    </w:p>
    <w:tbl>
      <w:tblPr>
        <w:tblStyle w:val="24"/>
        <w:tblW w:w="88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899"/>
        <w:gridCol w:w="7019"/>
      </w:tblGrid>
      <w:tr w14:paraId="1998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  <w:jc w:val="center"/>
        </w:trPr>
        <w:tc>
          <w:tcPr>
            <w:tcW w:w="906" w:type="dxa"/>
            <w:shd w:val="clear" w:color="auto" w:fill="auto"/>
          </w:tcPr>
          <w:p w14:paraId="11896229">
            <w:pPr>
              <w:pStyle w:val="25"/>
              <w:spacing w:before="151" w:line="230" w:lineRule="auto"/>
              <w:ind w:left="197" w:right="305" w:firstLine="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2"/>
                <w:sz w:val="24"/>
                <w:szCs w:val="24"/>
              </w:rPr>
              <w:t>一级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分类</w:t>
            </w:r>
          </w:p>
        </w:tc>
        <w:tc>
          <w:tcPr>
            <w:tcW w:w="899" w:type="dxa"/>
            <w:shd w:val="clear" w:color="auto" w:fill="auto"/>
          </w:tcPr>
          <w:p w14:paraId="6C13A6D2">
            <w:pPr>
              <w:pStyle w:val="25"/>
              <w:spacing w:before="151" w:line="230" w:lineRule="auto"/>
              <w:ind w:left="191" w:right="304" w:firstLine="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2"/>
                <w:sz w:val="24"/>
                <w:szCs w:val="24"/>
              </w:rPr>
              <w:t>二级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分类</w:t>
            </w:r>
          </w:p>
        </w:tc>
        <w:tc>
          <w:tcPr>
            <w:tcW w:w="7019" w:type="dxa"/>
            <w:shd w:val="clear" w:color="auto" w:fill="auto"/>
          </w:tcPr>
          <w:p w14:paraId="6D84EB96">
            <w:pPr>
              <w:pStyle w:val="25"/>
              <w:spacing w:before="299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说明</w:t>
            </w:r>
          </w:p>
        </w:tc>
      </w:tr>
      <w:tr w14:paraId="5C89A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  <w:jc w:val="center"/>
        </w:trPr>
        <w:tc>
          <w:tcPr>
            <w:tcW w:w="906" w:type="dxa"/>
            <w:vMerge w:val="restart"/>
            <w:shd w:val="clear" w:color="auto" w:fill="auto"/>
          </w:tcPr>
          <w:p w14:paraId="0F5B1B5E">
            <w:pPr>
              <w:pStyle w:val="25"/>
              <w:spacing w:before="144" w:line="186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基础</w:t>
            </w:r>
          </w:p>
          <w:p w14:paraId="72FD5064">
            <w:pPr>
              <w:pStyle w:val="25"/>
              <w:spacing w:before="46" w:line="187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环境</w:t>
            </w:r>
          </w:p>
          <w:p w14:paraId="27A57631">
            <w:pPr>
              <w:pStyle w:val="25"/>
              <w:spacing w:before="46" w:line="187" w:lineRule="auto"/>
              <w:ind w:left="19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899" w:type="dxa"/>
            <w:vMerge w:val="restart"/>
            <w:shd w:val="clear" w:color="auto" w:fill="auto"/>
            <w:vAlign w:val="center"/>
          </w:tcPr>
          <w:p w14:paraId="6557CA79">
            <w:pPr>
              <w:pStyle w:val="25"/>
              <w:spacing w:before="44" w:line="18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color w:val="333333"/>
                <w:spacing w:val="3"/>
                <w:sz w:val="24"/>
                <w:szCs w:val="24"/>
                <w:lang w:val="en-US" w:eastAsia="zh-CN"/>
              </w:rPr>
              <w:t>基础环境运维</w:t>
            </w:r>
          </w:p>
        </w:tc>
        <w:tc>
          <w:tcPr>
            <w:tcW w:w="7019" w:type="dxa"/>
            <w:shd w:val="clear" w:color="auto" w:fill="auto"/>
          </w:tcPr>
          <w:p w14:paraId="0B1D835D">
            <w:pPr>
              <w:pStyle w:val="25"/>
              <w:spacing w:before="291" w:line="229" w:lineRule="auto"/>
              <w:ind w:left="193" w:right="375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包括供配电、空调、消防、安防、环境监控（温湿度）等相关的操作流程与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24"/>
                <w:szCs w:val="24"/>
              </w:rPr>
              <w:t>故障处理方案。</w:t>
            </w:r>
          </w:p>
        </w:tc>
      </w:tr>
      <w:tr w14:paraId="00D62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709F7C8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vMerge w:val="continue"/>
            <w:shd w:val="clear" w:color="auto" w:fill="auto"/>
          </w:tcPr>
          <w:p w14:paraId="43B07B09">
            <w:pPr>
              <w:pStyle w:val="25"/>
              <w:spacing w:before="44" w:line="188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7019" w:type="dxa"/>
            <w:shd w:val="clear" w:color="auto" w:fill="auto"/>
          </w:tcPr>
          <w:p w14:paraId="0A840871">
            <w:pPr>
              <w:spacing w:line="362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F9D1AB9">
            <w:pPr>
              <w:pStyle w:val="25"/>
              <w:spacing w:before="81" w:line="187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包括运营商线路、内部网络互联等链路问题的排查与解决指南。</w:t>
            </w:r>
          </w:p>
        </w:tc>
      </w:tr>
      <w:tr w14:paraId="1813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restart"/>
            <w:shd w:val="clear" w:color="auto" w:fill="auto"/>
          </w:tcPr>
          <w:p w14:paraId="5758A485">
            <w:pPr>
              <w:pStyle w:val="25"/>
              <w:spacing w:before="149" w:line="228" w:lineRule="auto"/>
              <w:ind w:left="196" w:right="305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4"/>
                <w:sz w:val="24"/>
                <w:szCs w:val="24"/>
              </w:rPr>
              <w:t>硬件</w:t>
            </w: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899" w:type="dxa"/>
            <w:shd w:val="clear" w:color="auto" w:fill="auto"/>
          </w:tcPr>
          <w:p w14:paraId="0265D94B">
            <w:pPr>
              <w:pStyle w:val="25"/>
              <w:spacing w:before="149" w:line="228" w:lineRule="auto"/>
              <w:ind w:left="192" w:right="304" w:firstLine="1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-4"/>
                <w:sz w:val="24"/>
                <w:szCs w:val="24"/>
              </w:rPr>
              <w:t>网络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72C3DE99">
            <w:pPr>
              <w:pStyle w:val="25"/>
              <w:spacing w:before="146" w:line="229" w:lineRule="auto"/>
              <w:ind w:left="192" w:right="37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包括交换机、路由器、防火墙、负载均衡等网络设备的配置、监控与故障处</w:t>
            </w:r>
            <w:r>
              <w:rPr>
                <w:rFonts w:hint="eastAsia" w:ascii="宋体" w:hAnsi="宋体" w:eastAsia="宋体" w:cs="宋体"/>
                <w:color w:val="333333"/>
                <w:spacing w:val="-4"/>
                <w:sz w:val="24"/>
                <w:szCs w:val="24"/>
              </w:rPr>
              <w:t>理知识。</w:t>
            </w:r>
          </w:p>
        </w:tc>
      </w:tr>
      <w:tr w14:paraId="274E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513C4D0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00C8FEEF">
            <w:pPr>
              <w:pStyle w:val="25"/>
              <w:spacing w:before="149" w:line="228" w:lineRule="auto"/>
              <w:ind w:left="192" w:right="304" w:firstLine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2"/>
                <w:sz w:val="24"/>
                <w:szCs w:val="24"/>
              </w:rPr>
              <w:t>主机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672566EC">
            <w:pPr>
              <w:pStyle w:val="25"/>
              <w:spacing w:before="148" w:line="227" w:lineRule="auto"/>
              <w:ind w:left="192" w:right="32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包括服务器、小型机等计算设备的硬件故障诊断、部件更换、</w:t>
            </w:r>
            <w:r>
              <w:rPr>
                <w:rFonts w:hint="eastAsia" w:ascii="宋体" w:hAnsi="宋体" w:eastAsia="宋体" w:cs="宋体"/>
                <w:color w:val="333333"/>
                <w:spacing w:val="24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BIOS配置等知</w:t>
            </w:r>
            <w:r>
              <w:rPr>
                <w:rFonts w:hint="eastAsia" w:ascii="宋体" w:hAnsi="宋体" w:eastAsia="宋体" w:cs="宋体"/>
                <w:color w:val="333333"/>
                <w:spacing w:val="-9"/>
                <w:sz w:val="24"/>
                <w:szCs w:val="24"/>
              </w:rPr>
              <w:t>识。</w:t>
            </w:r>
          </w:p>
        </w:tc>
      </w:tr>
      <w:tr w14:paraId="40FB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01F08D7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2F70436E">
            <w:pPr>
              <w:pStyle w:val="25"/>
              <w:spacing w:before="152" w:line="227" w:lineRule="auto"/>
              <w:ind w:left="191" w:right="3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存储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75DDDC8E">
            <w:pPr>
              <w:pStyle w:val="25"/>
              <w:spacing w:before="299" w:line="188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包括存储阵列、磁带库、光纤交换机等的配置、扩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容与故障处理方案。</w:t>
            </w:r>
          </w:p>
        </w:tc>
      </w:tr>
      <w:tr w14:paraId="5385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720B87B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731CEB6D">
            <w:pPr>
              <w:pStyle w:val="25"/>
              <w:spacing w:before="155" w:line="226" w:lineRule="auto"/>
              <w:ind w:left="192" w:right="30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桌面运维</w:t>
            </w:r>
          </w:p>
        </w:tc>
        <w:tc>
          <w:tcPr>
            <w:tcW w:w="7019" w:type="dxa"/>
            <w:shd w:val="clear" w:color="auto" w:fill="auto"/>
          </w:tcPr>
          <w:p w14:paraId="372C55FE">
            <w:pPr>
              <w:pStyle w:val="25"/>
              <w:spacing w:before="300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PC</w:t>
            </w: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电脑、打印机、扫描仪等终端设备的安装、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调试与故障排除指南。</w:t>
            </w:r>
          </w:p>
        </w:tc>
      </w:tr>
      <w:tr w14:paraId="2A07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  <w:jc w:val="center"/>
        </w:trPr>
        <w:tc>
          <w:tcPr>
            <w:tcW w:w="906" w:type="dxa"/>
            <w:vMerge w:val="restart"/>
            <w:shd w:val="clear" w:color="auto" w:fill="auto"/>
          </w:tcPr>
          <w:p w14:paraId="781E0921">
            <w:pPr>
              <w:pStyle w:val="25"/>
              <w:spacing w:before="303" w:line="232" w:lineRule="auto"/>
              <w:ind w:left="197" w:right="3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3333"/>
                <w:spacing w:val="3"/>
                <w:sz w:val="24"/>
                <w:szCs w:val="24"/>
              </w:rPr>
              <w:t>软件运维</w:t>
            </w:r>
          </w:p>
        </w:tc>
        <w:tc>
          <w:tcPr>
            <w:tcW w:w="899" w:type="dxa"/>
            <w:shd w:val="clear" w:color="auto" w:fill="auto"/>
          </w:tcPr>
          <w:p w14:paraId="37F284ED">
            <w:pPr>
              <w:pStyle w:val="25"/>
              <w:spacing w:before="155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基础</w:t>
            </w:r>
          </w:p>
          <w:p w14:paraId="7395830E">
            <w:pPr>
              <w:pStyle w:val="25"/>
              <w:spacing w:before="46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软件</w:t>
            </w:r>
          </w:p>
          <w:p w14:paraId="124450FB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344A2E05">
            <w:pPr>
              <w:pStyle w:val="25"/>
              <w:spacing w:before="303" w:line="204" w:lineRule="auto"/>
              <w:ind w:left="222" w:right="412" w:hanging="3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包括操作系统（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Windows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Linux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）、数据库（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Oracle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MySQL</w:t>
            </w:r>
            <w:r>
              <w:rPr>
                <w:rFonts w:hint="eastAsia" w:ascii="宋体" w:hAnsi="宋体" w:eastAsia="宋体" w:cs="宋体"/>
                <w:color w:val="333333"/>
                <w:spacing w:val="5"/>
                <w:sz w:val="24"/>
                <w:szCs w:val="24"/>
              </w:rPr>
              <w:t>等）、中间件</w:t>
            </w:r>
            <w:r>
              <w:rPr>
                <w:rFonts w:hint="eastAsia" w:ascii="宋体" w:hAnsi="宋体" w:eastAsia="宋体" w:cs="宋体"/>
                <w:color w:val="333333"/>
                <w:sz w:val="24"/>
                <w:szCs w:val="24"/>
              </w:rPr>
              <w:t>（Weblogic/Tomcat等）的安装、配置、调优与故障处理知识。</w:t>
            </w:r>
          </w:p>
        </w:tc>
      </w:tr>
      <w:tr w14:paraId="4F87D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  <w:jc w:val="center"/>
        </w:trPr>
        <w:tc>
          <w:tcPr>
            <w:tcW w:w="906" w:type="dxa"/>
            <w:vMerge w:val="continue"/>
            <w:shd w:val="clear" w:color="auto" w:fill="auto"/>
          </w:tcPr>
          <w:p w14:paraId="2B9F122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899" w:type="dxa"/>
            <w:shd w:val="clear" w:color="auto" w:fill="auto"/>
          </w:tcPr>
          <w:p w14:paraId="1F54CA4C">
            <w:pPr>
              <w:pStyle w:val="25"/>
              <w:spacing w:before="155" w:line="187" w:lineRule="auto"/>
              <w:ind w:left="19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应用</w:t>
            </w:r>
          </w:p>
          <w:p w14:paraId="4533FB92">
            <w:pPr>
              <w:pStyle w:val="25"/>
              <w:spacing w:before="46" w:line="187" w:lineRule="auto"/>
              <w:ind w:left="19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软件</w:t>
            </w:r>
          </w:p>
          <w:p w14:paraId="4E5899EF">
            <w:pPr>
              <w:pStyle w:val="25"/>
              <w:spacing w:before="47" w:line="186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运维</w:t>
            </w:r>
          </w:p>
        </w:tc>
        <w:tc>
          <w:tcPr>
            <w:tcW w:w="7019" w:type="dxa"/>
            <w:shd w:val="clear" w:color="auto" w:fill="auto"/>
          </w:tcPr>
          <w:p w14:paraId="6CCA4A5B">
            <w:pPr>
              <w:pStyle w:val="25"/>
              <w:spacing w:before="305" w:line="231" w:lineRule="auto"/>
              <w:ind w:left="193" w:right="416" w:hanging="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pacing w:val="4"/>
                <w:sz w:val="24"/>
                <w:szCs w:val="24"/>
              </w:rPr>
              <w:t>包括公司自主开发或采购的业务应用系统的功能使用说</w:t>
            </w:r>
            <w:r>
              <w:rPr>
                <w:rFonts w:hint="eastAsia" w:ascii="宋体" w:hAnsi="宋体" w:eastAsia="宋体" w:cs="宋体"/>
                <w:color w:val="333333"/>
                <w:spacing w:val="3"/>
                <w:sz w:val="24"/>
                <w:szCs w:val="24"/>
              </w:rPr>
              <w:t>明、常见问题解答、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24"/>
                <w:szCs w:val="24"/>
              </w:rPr>
              <w:t>故障排查手册等。</w:t>
            </w:r>
          </w:p>
        </w:tc>
      </w:tr>
    </w:tbl>
    <w:p w14:paraId="5495B3BE">
      <w:pPr>
        <w:pStyle w:val="27"/>
        <w:bidi w:val="0"/>
        <w:rPr>
          <w:rFonts w:hint="eastAsia"/>
        </w:rPr>
      </w:pPr>
      <w:r>
        <w:rPr>
          <w:rFonts w:hint="eastAsia"/>
        </w:rPr>
        <w:t>注：知识提交时需选择至少一个一级和二级分类标签。</w:t>
      </w:r>
    </w:p>
    <w:p w14:paraId="0DF11C74">
      <w:pPr>
        <w:pStyle w:val="26"/>
        <w:bidi w:val="0"/>
        <w:rPr>
          <w:rFonts w:hint="eastAsia"/>
        </w:rPr>
      </w:pPr>
      <w:bookmarkStart w:id="8" w:name="_Toc9845"/>
      <w:r>
        <w:rPr>
          <w:rFonts w:hint="eastAsia"/>
        </w:rPr>
        <w:t>服务知识生命周期管理流程</w:t>
      </w:r>
      <w:bookmarkEnd w:id="8"/>
    </w:p>
    <w:p w14:paraId="173D1087">
      <w:pPr>
        <w:pStyle w:val="27"/>
        <w:bidi w:val="0"/>
        <w:rPr>
          <w:rFonts w:hint="eastAsia"/>
        </w:rPr>
      </w:pPr>
      <w:r>
        <w:rPr>
          <w:rFonts w:hint="eastAsia"/>
          <w:lang w:val="en-US" w:eastAsia="zh-CN"/>
        </w:rPr>
        <w:t>服务</w:t>
      </w:r>
      <w:r>
        <w:rPr>
          <w:rFonts w:hint="eastAsia"/>
        </w:rPr>
        <w:t>知识生命周期包含以下十二个组成部分，确保知识从产生到消亡的每一个环节都得到有效管理</w:t>
      </w:r>
    </w:p>
    <w:p w14:paraId="1F4C3812">
      <w:pPr>
        <w:pStyle w:val="28"/>
        <w:bidi w:val="0"/>
        <w:rPr>
          <w:rFonts w:hint="eastAsia"/>
        </w:rPr>
      </w:pPr>
      <w:bookmarkStart w:id="9" w:name="_Toc20957"/>
      <w:r>
        <w:rPr>
          <w:rFonts w:hint="eastAsia"/>
        </w:rPr>
        <w:t>知识的识别与收集</w:t>
      </w:r>
      <w:bookmarkEnd w:id="9"/>
    </w:p>
    <w:p w14:paraId="6A193B00">
      <w:pPr>
        <w:pStyle w:val="27"/>
        <w:bidi w:val="0"/>
        <w:rPr>
          <w:rFonts w:hint="eastAsia"/>
        </w:rPr>
      </w:pPr>
      <w:r>
        <w:rPr>
          <w:rFonts w:hint="eastAsia"/>
        </w:rPr>
        <w:t>服务人员在日常工作中应主动识别可复用的知识，来源包括但不限于：</w:t>
      </w:r>
    </w:p>
    <w:p w14:paraId="53A2A472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已成功解决的重大或重复性事件/问题的解决方案。</w:t>
      </w:r>
    </w:p>
    <w:p w14:paraId="44462D21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问题管理分析出的根本原因和规避方案。</w:t>
      </w:r>
    </w:p>
    <w:p w14:paraId="424CD937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变更实施后总结的成功经验或回滚方案。</w:t>
      </w:r>
    </w:p>
    <w:p w14:paraId="650D2B7F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技术服务请求中的通用操作指南。</w:t>
      </w:r>
    </w:p>
    <w:p w14:paraId="0BBD8593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外部厂商提供的技术白皮书、最佳实践。</w:t>
      </w:r>
    </w:p>
    <w:p w14:paraId="093A88D0">
      <w:pPr>
        <w:pStyle w:val="28"/>
        <w:bidi w:val="0"/>
        <w:rPr>
          <w:rFonts w:hint="eastAsia"/>
        </w:rPr>
      </w:pPr>
      <w:bookmarkStart w:id="10" w:name="_Toc22811"/>
      <w:r>
        <w:rPr>
          <w:rFonts w:hint="eastAsia"/>
        </w:rPr>
        <w:t>知识的发起</w:t>
      </w:r>
      <w:bookmarkEnd w:id="10"/>
    </w:p>
    <w:p w14:paraId="1CDFD668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知识的创建由服务知识管管理员发起。发起人应初步判断知识的价值与复用性，并填写知识草稿。</w:t>
      </w:r>
    </w:p>
    <w:p w14:paraId="6E2F0487">
      <w:pPr>
        <w:pStyle w:val="28"/>
        <w:bidi w:val="0"/>
        <w:rPr>
          <w:rFonts w:hint="eastAsia"/>
        </w:rPr>
      </w:pPr>
      <w:bookmarkStart w:id="11" w:name="_Toc5046"/>
      <w:r>
        <w:rPr>
          <w:rFonts w:hint="eastAsia"/>
        </w:rPr>
        <w:t>知识的来源</w:t>
      </w:r>
      <w:bookmarkEnd w:id="11"/>
    </w:p>
    <w:p w14:paraId="6C9922F5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所有知识必须注明可靠来源（如关联的事件单号、问题单号、变更单号或参考文档链接），以确保其真实性和可追溯性。</w:t>
      </w:r>
    </w:p>
    <w:p w14:paraId="4BEB4B56">
      <w:pPr>
        <w:pStyle w:val="28"/>
        <w:bidi w:val="0"/>
        <w:rPr>
          <w:rFonts w:hint="eastAsia"/>
        </w:rPr>
      </w:pPr>
      <w:bookmarkStart w:id="12" w:name="_Toc27860"/>
      <w:r>
        <w:rPr>
          <w:rFonts w:hint="eastAsia"/>
        </w:rPr>
        <w:t>知识的加工整理</w:t>
      </w:r>
      <w:bookmarkEnd w:id="12"/>
    </w:p>
    <w:p w14:paraId="120F3E0A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知识发起人需对原始信息进行加工，形成标准化的知识条目。格式应包含：问题现象、根本原因、解决步骤、所需工具、预防措施等，力求清晰、准确、易于理解。</w:t>
      </w:r>
    </w:p>
    <w:p w14:paraId="5256C0D3">
      <w:pPr>
        <w:pStyle w:val="28"/>
        <w:bidi w:val="0"/>
        <w:rPr>
          <w:rFonts w:hint="eastAsia"/>
        </w:rPr>
      </w:pPr>
      <w:bookmarkStart w:id="13" w:name="_Toc6366"/>
      <w:r>
        <w:rPr>
          <w:rFonts w:hint="eastAsia"/>
        </w:rPr>
        <w:t>知识的提交</w:t>
      </w:r>
      <w:bookmarkEnd w:id="13"/>
    </w:p>
    <w:p w14:paraId="75D17788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加工整理后的知识，通过知识库系统的“提交”功能，进入待审核流程。提交时需填写完整属性，如标题、分类、关键字、适用环境等。</w:t>
      </w:r>
    </w:p>
    <w:p w14:paraId="5F669043">
      <w:pPr>
        <w:pStyle w:val="28"/>
        <w:bidi w:val="0"/>
        <w:rPr>
          <w:rFonts w:hint="eastAsia"/>
        </w:rPr>
      </w:pPr>
      <w:bookmarkStart w:id="14" w:name="_Toc14341"/>
      <w:r>
        <w:rPr>
          <w:rFonts w:hint="eastAsia"/>
        </w:rPr>
        <w:t>知识的分类</w:t>
      </w:r>
      <w:bookmarkEnd w:id="14"/>
    </w:p>
    <w:p w14:paraId="3B3714E4">
      <w:pPr>
        <w:pStyle w:val="2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知识提交人必须根据第4章规定的分类体系，为知识选择准确的一级和二级分类标签，便于后续检索和统计。</w:t>
      </w:r>
    </w:p>
    <w:p w14:paraId="1476E37B">
      <w:pPr>
        <w:pStyle w:val="28"/>
        <w:bidi w:val="0"/>
        <w:rPr>
          <w:rFonts w:hint="eastAsia"/>
        </w:rPr>
      </w:pPr>
      <w:bookmarkStart w:id="15" w:name="_Toc21615"/>
      <w:r>
        <w:rPr>
          <w:rFonts w:hint="eastAsia"/>
        </w:rPr>
        <w:t>知识点审核</w:t>
      </w:r>
      <w:bookmarkEnd w:id="15"/>
    </w:p>
    <w:p w14:paraId="10BF984C">
      <w:pPr>
        <w:pStyle w:val="27"/>
        <w:bidi w:val="0"/>
        <w:rPr>
          <w:rFonts w:hint="eastAsia"/>
        </w:rPr>
      </w:pPr>
      <w:r>
        <w:rPr>
          <w:rFonts w:hint="eastAsia"/>
        </w:rPr>
        <w:t>知识提交后，</w:t>
      </w:r>
      <w:r>
        <w:rPr>
          <w:rFonts w:hint="eastAsia"/>
          <w:lang w:val="en-US" w:eastAsia="zh-CN"/>
        </w:rPr>
        <w:t>服务知识经理审核</w:t>
      </w:r>
      <w:r>
        <w:rPr>
          <w:rFonts w:hint="eastAsia"/>
        </w:rPr>
        <w:t>。</w:t>
      </w:r>
    </w:p>
    <w:p w14:paraId="43FCAD5C">
      <w:pPr>
        <w:pStyle w:val="27"/>
        <w:bidi w:val="0"/>
        <w:rPr>
          <w:rFonts w:hint="eastAsia"/>
        </w:rPr>
      </w:pPr>
      <w:r>
        <w:rPr>
          <w:rFonts w:hint="eastAsia"/>
        </w:rPr>
        <w:t>审核人需从准确性、完整性、规范性、合规性和保密性等方面进行评审。</w:t>
      </w:r>
    </w:p>
    <w:p w14:paraId="2BA0DBF3">
      <w:pPr>
        <w:pStyle w:val="27"/>
        <w:bidi w:val="0"/>
        <w:rPr>
          <w:rFonts w:hint="eastAsia"/>
        </w:rPr>
      </w:pPr>
      <w:r>
        <w:rPr>
          <w:rFonts w:hint="eastAsia"/>
        </w:rPr>
        <w:t>审核结果分为：批准、驳回（需注明理由）、退回修改。</w:t>
      </w:r>
    </w:p>
    <w:p w14:paraId="131C6DC2">
      <w:pPr>
        <w:pStyle w:val="28"/>
        <w:bidi w:val="0"/>
        <w:rPr>
          <w:rFonts w:hint="eastAsia"/>
        </w:rPr>
      </w:pPr>
      <w:bookmarkStart w:id="16" w:name="_Toc9857"/>
      <w:r>
        <w:rPr>
          <w:rFonts w:hint="eastAsia"/>
        </w:rPr>
        <w:t>知识发布及有效性管理</w:t>
      </w:r>
      <w:bookmarkEnd w:id="16"/>
    </w:p>
    <w:p w14:paraId="40E61EC2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审核通过的知识由</w:t>
      </w:r>
      <w:r>
        <w:rPr>
          <w:rFonts w:hint="eastAsia"/>
          <w:lang w:eastAsia="zh-CN"/>
        </w:rPr>
        <w:t>服务知识经理</w:t>
      </w:r>
      <w:r>
        <w:rPr>
          <w:rFonts w:hint="eastAsia"/>
        </w:rPr>
        <w:t>正式发布至知识库，所有用户可见可用。</w:t>
      </w:r>
    </w:p>
    <w:p w14:paraId="3C585C27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知识发布后，系统应记录其被阅读次数、被采纳次数、解决率和用户评分，用以持续评估其有效性。</w:t>
      </w:r>
    </w:p>
    <w:p w14:paraId="04FB44A1">
      <w:pPr>
        <w:pStyle w:val="28"/>
        <w:bidi w:val="0"/>
        <w:rPr>
          <w:rFonts w:hint="eastAsia"/>
        </w:rPr>
      </w:pPr>
      <w:bookmarkStart w:id="17" w:name="_Toc15247"/>
      <w:r>
        <w:rPr>
          <w:rFonts w:hint="eastAsia"/>
        </w:rPr>
        <w:t>知识传播</w:t>
      </w:r>
      <w:bookmarkEnd w:id="17"/>
    </w:p>
    <w:p w14:paraId="402DB213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通过知识库门户、邮件订阅、 RSS推送、与事件管理流程联动（自动推荐）等方式，将新知识主动传递给相关服务人员。</w:t>
      </w:r>
    </w:p>
    <w:p w14:paraId="6A952722">
      <w:pPr>
        <w:pStyle w:val="39"/>
        <w:numPr>
          <w:ilvl w:val="0"/>
          <w:numId w:val="6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定期组织知识分享会，对高价值知识进行专题宣讲。</w:t>
      </w:r>
    </w:p>
    <w:p w14:paraId="6E7F3AE4">
      <w:pPr>
        <w:pStyle w:val="28"/>
        <w:bidi w:val="0"/>
        <w:rPr>
          <w:rFonts w:hint="eastAsia"/>
        </w:rPr>
      </w:pPr>
      <w:bookmarkStart w:id="18" w:name="_Toc5894"/>
      <w:r>
        <w:rPr>
          <w:rFonts w:hint="eastAsia"/>
        </w:rPr>
        <w:t>知识共享</w:t>
      </w:r>
      <w:bookmarkEnd w:id="18"/>
    </w:p>
    <w:p w14:paraId="44D8DCF3">
      <w:pPr>
        <w:pStyle w:val="39"/>
        <w:numPr>
          <w:ilvl w:val="0"/>
          <w:numId w:val="7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营造共享文化，鼓励员工使用、评论、补充和评分知识。</w:t>
      </w:r>
    </w:p>
    <w:p w14:paraId="319DD75C">
      <w:pPr>
        <w:pStyle w:val="39"/>
        <w:numPr>
          <w:ilvl w:val="0"/>
          <w:numId w:val="7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设立激励机制，对贡献高质量知识的员工给予表彰或奖励。</w:t>
      </w:r>
    </w:p>
    <w:p w14:paraId="1396753E">
      <w:pPr>
        <w:pStyle w:val="28"/>
        <w:bidi w:val="0"/>
        <w:rPr>
          <w:rFonts w:hint="eastAsia"/>
        </w:rPr>
      </w:pPr>
      <w:bookmarkStart w:id="19" w:name="_Toc16232"/>
      <w:r>
        <w:rPr>
          <w:rFonts w:hint="eastAsia"/>
        </w:rPr>
        <w:t>知识更新</w:t>
      </w:r>
      <w:bookmarkEnd w:id="19"/>
    </w:p>
    <w:p w14:paraId="2D8EEA6F">
      <w:pPr>
        <w:pStyle w:val="39"/>
        <w:numPr>
          <w:ilvl w:val="0"/>
          <w:numId w:val="8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eastAsia="zh-CN"/>
        </w:rPr>
        <w:t>服务知识经理</w:t>
      </w:r>
      <w:r>
        <w:rPr>
          <w:rFonts w:hint="eastAsia"/>
        </w:rPr>
        <w:t>定期组织对知识进行复审。</w:t>
      </w:r>
    </w:p>
    <w:p w14:paraId="4F4BD387">
      <w:pPr>
        <w:pStyle w:val="39"/>
        <w:numPr>
          <w:ilvl w:val="0"/>
          <w:numId w:val="8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任何员工发现知识过期或错误时，可发起更新流程。更新流程需遵循同样的提交与审核环节。</w:t>
      </w:r>
    </w:p>
    <w:p w14:paraId="172E7D42">
      <w:pPr>
        <w:pStyle w:val="28"/>
        <w:bidi w:val="0"/>
        <w:rPr>
          <w:rFonts w:hint="eastAsia"/>
        </w:rPr>
      </w:pPr>
      <w:bookmarkStart w:id="20" w:name="_Toc13789"/>
      <w:r>
        <w:rPr>
          <w:rFonts w:hint="eastAsia"/>
        </w:rPr>
        <w:t>知识版本管理</w:t>
      </w:r>
      <w:bookmarkEnd w:id="20"/>
    </w:p>
    <w:p w14:paraId="297D9846">
      <w:pPr>
        <w:pStyle w:val="39"/>
        <w:numPr>
          <w:ilvl w:val="0"/>
          <w:numId w:val="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服务知识</w:t>
      </w:r>
      <w:r>
        <w:rPr>
          <w:rFonts w:hint="eastAsia"/>
        </w:rPr>
        <w:t>系统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保留知识的历次修改版本，记录版本号、修改时间、修改人和修改内容。</w:t>
      </w:r>
    </w:p>
    <w:p w14:paraId="7AF6E8E9">
      <w:pPr>
        <w:pStyle w:val="39"/>
        <w:numPr>
          <w:ilvl w:val="0"/>
          <w:numId w:val="9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对于已过时但仍具参考价值的知识，应将其状态置为“历史版本”并归档，而非直接删除，以保证知识的可追溯性。</w:t>
      </w:r>
    </w:p>
    <w:p w14:paraId="3CAD36A2">
      <w:pPr>
        <w:pStyle w:val="26"/>
        <w:bidi w:val="0"/>
        <w:rPr>
          <w:rFonts w:hint="eastAsia"/>
        </w:rPr>
      </w:pPr>
      <w:bookmarkStart w:id="21" w:name="_Toc25567"/>
      <w:r>
        <w:rPr>
          <w:rFonts w:hint="eastAsia"/>
        </w:rPr>
        <w:t>考核与奖惩</w:t>
      </w:r>
      <w:bookmarkEnd w:id="21"/>
    </w:p>
    <w:tbl>
      <w:tblPr>
        <w:tblStyle w:val="24"/>
        <w:tblW w:w="8070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1860"/>
        <w:gridCol w:w="3245"/>
        <w:gridCol w:w="991"/>
        <w:gridCol w:w="991"/>
      </w:tblGrid>
      <w:tr w14:paraId="40F45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983" w:type="dxa"/>
            <w:shd w:val="clear" w:color="auto" w:fill="C0C0C0"/>
            <w:vAlign w:val="center"/>
          </w:tcPr>
          <w:p w14:paraId="2C0756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860" w:type="dxa"/>
            <w:shd w:val="clear" w:color="auto" w:fill="C0C0C0"/>
            <w:vAlign w:val="center"/>
          </w:tcPr>
          <w:p w14:paraId="61348B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245" w:type="dxa"/>
            <w:shd w:val="clear" w:color="auto" w:fill="C0C0C0"/>
            <w:vAlign w:val="center"/>
          </w:tcPr>
          <w:p w14:paraId="5A8435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991" w:type="dxa"/>
            <w:shd w:val="clear" w:color="auto" w:fill="C0C0C0"/>
            <w:vAlign w:val="center"/>
          </w:tcPr>
          <w:p w14:paraId="7EB56D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991" w:type="dxa"/>
            <w:shd w:val="clear" w:color="auto" w:fill="C0C0C0"/>
            <w:vAlign w:val="center"/>
          </w:tcPr>
          <w:p w14:paraId="1376C5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08157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83" w:type="dxa"/>
          </w:tcPr>
          <w:p w14:paraId="72A8C4F7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b w:val="0"/>
                <w:bCs w:val="0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860" w:type="dxa"/>
          </w:tcPr>
          <w:p w14:paraId="7F73A820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>新增知识条目</w:t>
            </w:r>
          </w:p>
        </w:tc>
        <w:tc>
          <w:tcPr>
            <w:tcW w:w="3245" w:type="dxa"/>
          </w:tcPr>
          <w:p w14:paraId="4B795DCC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rFonts w:hint="eastAsia"/>
                <w:b w:val="0"/>
                <w:bCs w:val="0"/>
                <w:spacing w:val="-1"/>
                <w:sz w:val="24"/>
                <w:szCs w:val="24"/>
                <w:lang w:val="en-US" w:eastAsia="zh-CN"/>
              </w:rPr>
              <w:t>统计服务知识</w:t>
            </w:r>
            <w:r>
              <w:rPr>
                <w:b w:val="0"/>
                <w:bCs w:val="0"/>
                <w:spacing w:val="-1"/>
                <w:sz w:val="24"/>
                <w:szCs w:val="24"/>
              </w:rPr>
              <w:t>中新增知识条目</w:t>
            </w:r>
          </w:p>
        </w:tc>
        <w:tc>
          <w:tcPr>
            <w:tcW w:w="991" w:type="dxa"/>
          </w:tcPr>
          <w:p w14:paraId="1EC80DF9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sz w:val="24"/>
                <w:szCs w:val="24"/>
              </w:rPr>
              <w:t>按季度</w:t>
            </w:r>
          </w:p>
        </w:tc>
        <w:tc>
          <w:tcPr>
            <w:tcW w:w="991" w:type="dxa"/>
          </w:tcPr>
          <w:p w14:paraId="50AC8DA3">
            <w:pPr>
              <w:pStyle w:val="25"/>
              <w:spacing w:before="149" w:line="220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b w:val="0"/>
                <w:bCs w:val="0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pacing w:val="-2"/>
                <w:sz w:val="24"/>
                <w:szCs w:val="24"/>
                <w:lang w:val="en-US" w:eastAsia="zh-CN"/>
              </w:rPr>
              <w:t>≥40条</w:t>
            </w:r>
          </w:p>
        </w:tc>
      </w:tr>
    </w:tbl>
    <w:p w14:paraId="1D743004">
      <w:pPr>
        <w:pStyle w:val="12"/>
        <w:spacing w:before="218" w:line="187" w:lineRule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5" w:type="default"/>
      <w:pgSz w:w="11900" w:h="16839"/>
      <w:pgMar w:top="1240" w:right="1474" w:bottom="1099" w:left="15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91CEE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6FC7EA"/>
    <w:multiLevelType w:val="singleLevel"/>
    <w:tmpl w:val="9A6FC7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D173C"/>
    <w:multiLevelType w:val="singleLevel"/>
    <w:tmpl w:val="D3AD17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897F1A"/>
    <w:multiLevelType w:val="singleLevel"/>
    <w:tmpl w:val="D8897F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E11DCCF"/>
    <w:multiLevelType w:val="singleLevel"/>
    <w:tmpl w:val="EE11DC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A3AAD5D"/>
    <w:multiLevelType w:val="singleLevel"/>
    <w:tmpl w:val="FA3AAD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F6E6AB2"/>
    <w:multiLevelType w:val="singleLevel"/>
    <w:tmpl w:val="3F6E6A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0D9247F"/>
    <w:multiLevelType w:val="singleLevel"/>
    <w:tmpl w:val="50D924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A2EA0CE"/>
    <w:multiLevelType w:val="singleLevel"/>
    <w:tmpl w:val="7A2EA0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D22D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2120</Words>
  <Characters>2244</Characters>
  <Lines>0</Lines>
  <Paragraphs>0</Paragraphs>
  <TotalTime>0</TotalTime>
  <ScaleCrop>false</ScaleCrop>
  <LinksUpToDate>false</LinksUpToDate>
  <CharactersWithSpaces>2333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2025-08-27T14:01:00Z</dcterms:created>
  <dc:creator>18442</dc:creator>
  <cp:lastModifiedBy>郝宇</cp:lastModifiedBy>
  <dcterms:modified xsi:type="dcterms:W3CDTF">2026-02-07T10:59:54Z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2025-08-27T22:02:41Z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F2901134399A423987DE2DB22977A822_12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