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CCABDD">
      <w:pPr>
        <w:pStyle w:val="31"/>
        <w:bidi w:val="0"/>
        <w:rPr>
          <w:rFonts w:hint="eastAsia"/>
          <w:lang w:val="en-US" w:eastAsia="zh-CN"/>
        </w:rPr>
      </w:pPr>
    </w:p>
    <w:p w14:paraId="6E4E013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运维工具自评报告</w:t>
      </w:r>
    </w:p>
    <w:p w14:paraId="7B0CF3D5">
      <w:pPr>
        <w:pStyle w:val="32"/>
        <w:bidi w:val="0"/>
      </w:pPr>
      <w:r>
        <w:t>中达丰集团有限公司</w:t>
      </w:r>
    </w:p>
    <w:p w14:paraId="4C0E53A9">
      <w:pPr>
        <w:spacing w:before="117" w:line="219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</w:t>
      </w:r>
    </w:p>
    <w:p w14:paraId="6100A4B2">
      <w:pPr>
        <w:rPr>
          <w:rFonts w:ascii="宋体" w:hAnsi="宋体" w:eastAsia="宋体" w:cs="宋体"/>
          <w:spacing w:val="-2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br w:type="page"/>
      </w:r>
    </w:p>
    <w:p w14:paraId="3690492C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</w:p>
    <w:p w14:paraId="77AAB281">
      <w:pPr>
        <w:spacing w:line="16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763"/>
        <w:gridCol w:w="2094"/>
        <w:gridCol w:w="1557"/>
        <w:gridCol w:w="1953"/>
      </w:tblGrid>
      <w:tr w14:paraId="38269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704" w:type="dxa"/>
          </w:tcPr>
          <w:p w14:paraId="7549E47F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8BA263F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运维工具评估报告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YWGJZP</w:t>
            </w:r>
            <w:r>
              <w:rPr>
                <w:spacing w:val="-1"/>
              </w:rPr>
              <w:t>）</w:t>
            </w:r>
          </w:p>
        </w:tc>
      </w:tr>
      <w:tr w14:paraId="2F056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04" w:type="dxa"/>
          </w:tcPr>
          <w:p w14:paraId="6590DE45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1C5DB158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B590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jc w:val="center"/>
        </w:trPr>
        <w:tc>
          <w:tcPr>
            <w:tcW w:w="1704" w:type="dxa"/>
          </w:tcPr>
          <w:p w14:paraId="1E174E40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763" w:type="dxa"/>
          </w:tcPr>
          <w:p w14:paraId="2FEA6832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094" w:type="dxa"/>
          </w:tcPr>
          <w:p w14:paraId="255F4B0E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4537F687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4DB3FCB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1680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0FE30DC8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763" w:type="dxa"/>
          </w:tcPr>
          <w:p w14:paraId="3F8412E6">
            <w:pPr>
              <w:pStyle w:val="25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094" w:type="dxa"/>
          </w:tcPr>
          <w:p w14:paraId="437DE6EF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2B6308E">
            <w:pPr>
              <w:pStyle w:val="25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5C25E091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361F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766D1F54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763" w:type="dxa"/>
          </w:tcPr>
          <w:p w14:paraId="1D38CDD9">
            <w:pPr>
              <w:pStyle w:val="25"/>
              <w:spacing w:before="164"/>
              <w:ind w:left="361"/>
            </w:pPr>
          </w:p>
        </w:tc>
        <w:tc>
          <w:tcPr>
            <w:tcW w:w="2094" w:type="dxa"/>
          </w:tcPr>
          <w:p w14:paraId="4C4A178E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2C40EEA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86C022">
            <w:pPr>
              <w:pStyle w:val="25"/>
              <w:spacing w:before="134" w:line="220" w:lineRule="auto"/>
              <w:ind w:left="672"/>
            </w:pPr>
          </w:p>
        </w:tc>
      </w:tr>
      <w:tr w14:paraId="280F2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3A0E0B86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763" w:type="dxa"/>
          </w:tcPr>
          <w:p w14:paraId="6B727642">
            <w:pPr>
              <w:pStyle w:val="25"/>
              <w:spacing w:before="165"/>
              <w:ind w:left="361"/>
            </w:pPr>
          </w:p>
        </w:tc>
        <w:tc>
          <w:tcPr>
            <w:tcW w:w="2094" w:type="dxa"/>
          </w:tcPr>
          <w:p w14:paraId="7A8802E3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BC43F22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45674F1">
            <w:pPr>
              <w:pStyle w:val="25"/>
              <w:spacing w:before="135" w:line="220" w:lineRule="auto"/>
              <w:ind w:left="672"/>
            </w:pPr>
          </w:p>
        </w:tc>
      </w:tr>
      <w:tr w14:paraId="662EB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121330DF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763" w:type="dxa"/>
          </w:tcPr>
          <w:p w14:paraId="5D42D638">
            <w:pPr>
              <w:pStyle w:val="25"/>
              <w:spacing w:before="166"/>
              <w:ind w:left="361"/>
            </w:pPr>
          </w:p>
        </w:tc>
        <w:tc>
          <w:tcPr>
            <w:tcW w:w="2094" w:type="dxa"/>
          </w:tcPr>
          <w:p w14:paraId="4A04FD92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6A6D37AC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3068580">
            <w:pPr>
              <w:pStyle w:val="25"/>
              <w:spacing w:before="136" w:line="220" w:lineRule="auto"/>
              <w:ind w:left="672"/>
            </w:pPr>
          </w:p>
        </w:tc>
      </w:tr>
      <w:tr w14:paraId="76802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04" w:type="dxa"/>
          </w:tcPr>
          <w:p w14:paraId="76021993">
            <w:pPr>
              <w:rPr>
                <w:rFonts w:ascii="Arial"/>
                <w:sz w:val="21"/>
              </w:rPr>
            </w:pPr>
          </w:p>
        </w:tc>
        <w:tc>
          <w:tcPr>
            <w:tcW w:w="1763" w:type="dxa"/>
          </w:tcPr>
          <w:p w14:paraId="6A8246A3">
            <w:pPr>
              <w:rPr>
                <w:rFonts w:ascii="Arial"/>
                <w:sz w:val="21"/>
              </w:rPr>
            </w:pPr>
          </w:p>
        </w:tc>
        <w:tc>
          <w:tcPr>
            <w:tcW w:w="2094" w:type="dxa"/>
          </w:tcPr>
          <w:p w14:paraId="62B139E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1EE84C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CE0C9CF">
            <w:pPr>
              <w:rPr>
                <w:rFonts w:ascii="Arial"/>
                <w:sz w:val="21"/>
              </w:rPr>
            </w:pPr>
          </w:p>
        </w:tc>
      </w:tr>
    </w:tbl>
    <w:p w14:paraId="5DB9B68A">
      <w:pPr>
        <w:spacing w:before="116" w:line="221" w:lineRule="auto"/>
        <w:ind w:left="5767" w:leftChars="0"/>
      </w:pPr>
      <w:sdt>
        <w:sdtPr>
          <w:rPr>
            <w:rFonts w:ascii="宋体" w:hAnsi="宋体" w:eastAsia="宋体" w:cs="宋体"/>
            <w:sz w:val="24"/>
            <w:szCs w:val="24"/>
          </w:rPr>
          <w:id w:val="147477268"/>
          <w:showingPlcHdr/>
          <w:docPartObj>
            <w:docPartGallery w:val="Table of Contents"/>
            <w:docPartUnique/>
          </w:docPartObj>
        </w:sdtPr>
        <w:sdtEndPr>
          <w:rPr>
            <w:rFonts w:ascii="宋体" w:hAnsi="宋体" w:eastAsia="宋体" w:cs="宋体"/>
            <w:sz w:val="24"/>
            <w:szCs w:val="24"/>
          </w:rPr>
        </w:sdtEndPr>
        <w:sdtContent>
          <w:bookmarkStart w:id="0" w:name="bookmark9"/>
          <w:bookmarkEnd w:id="0"/>
          <w:r>
            <w:rPr>
              <w:rFonts w:hint="eastAsia" w:ascii="宋体" w:hAnsi="宋体" w:eastAsia="宋体" w:cs="宋体"/>
              <w:sz w:val="24"/>
              <w:szCs w:val="24"/>
              <w:lang w:eastAsia="zh-CN"/>
            </w:rPr>
            <w:t xml:space="preserve">     </w:t>
          </w:r>
        </w:sdtContent>
      </w:sdt>
    </w:p>
    <w:p w14:paraId="33B046CB">
      <w:pPr>
        <w:rPr>
          <w:rFonts w:ascii="宋体" w:hAnsi="宋体" w:eastAsia="宋体" w:cs="宋体"/>
          <w:b/>
          <w:bCs/>
          <w:spacing w:val="1"/>
          <w:sz w:val="31"/>
          <w:szCs w:val="31"/>
        </w:rPr>
        <w:sectPr>
          <w:headerReference r:id="rId5" w:type="default"/>
          <w:footerReference r:id="rId6" w:type="default"/>
          <w:pgSz w:w="11906" w:h="16839"/>
          <w:pgMar w:top="1437" w:right="1283" w:bottom="1152" w:left="1417" w:header="927" w:footer="987" w:gutter="0"/>
          <w:cols w:space="720" w:num="1"/>
        </w:sectPr>
      </w:pPr>
      <w:r>
        <w:rPr>
          <w:rFonts w:ascii="宋体" w:hAnsi="宋体" w:eastAsia="宋体" w:cs="宋体"/>
          <w:b/>
          <w:bCs/>
          <w:spacing w:val="1"/>
          <w:sz w:val="31"/>
          <w:szCs w:val="31"/>
        </w:rPr>
        <w:br w:type="page"/>
      </w:r>
    </w:p>
    <w:tbl>
      <w:tblPr>
        <w:tblStyle w:val="24"/>
        <w:tblW w:w="1446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793"/>
        <w:gridCol w:w="4584"/>
        <w:gridCol w:w="1201"/>
        <w:gridCol w:w="1162"/>
        <w:gridCol w:w="3842"/>
        <w:gridCol w:w="1278"/>
      </w:tblGrid>
      <w:tr w14:paraId="7D912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606" w:type="dxa"/>
            <w:shd w:val="clear" w:color="auto" w:fill="E5E5E5"/>
            <w:vAlign w:val="center"/>
          </w:tcPr>
          <w:p w14:paraId="1DFFD4B9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0E0683D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4584" w:type="dxa"/>
            <w:shd w:val="clear" w:color="auto" w:fill="E5E5E5"/>
            <w:vAlign w:val="center"/>
          </w:tcPr>
          <w:p w14:paraId="102115C6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428A37EC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2E286A5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162" w:type="dxa"/>
            <w:shd w:val="clear" w:color="auto" w:fill="E5E5E5"/>
            <w:vAlign w:val="center"/>
          </w:tcPr>
          <w:p w14:paraId="13D61C35">
            <w:pPr>
              <w:snapToGrid w:val="0"/>
              <w:spacing w:before="5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842" w:type="dxa"/>
            <w:shd w:val="clear" w:color="auto" w:fill="E5E5E5"/>
            <w:vAlign w:val="center"/>
          </w:tcPr>
          <w:p w14:paraId="15EE4CF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278" w:type="dxa"/>
            <w:shd w:val="clear" w:color="auto" w:fill="E5E5E5"/>
            <w:vAlign w:val="center"/>
          </w:tcPr>
          <w:p w14:paraId="4690FE33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756FF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5CBC2470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0" w:type="auto"/>
            <w:vAlign w:val="center"/>
          </w:tcPr>
          <w:p w14:paraId="0E22505F">
            <w:pPr>
              <w:snapToGrid w:val="0"/>
              <w:spacing w:before="39" w:line="240" w:lineRule="auto"/>
              <w:ind w:right="103"/>
              <w:jc w:val="left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宋体"/>
                <w:spacing w:val="-4"/>
                <w:sz w:val="24"/>
                <w:szCs w:val="24"/>
                <w:lang w:val="en-US" w:eastAsia="zh-CN"/>
              </w:rPr>
              <w:t>江苏智慧双湖管理系统</w:t>
            </w:r>
          </w:p>
        </w:tc>
        <w:tc>
          <w:tcPr>
            <w:tcW w:w="4584" w:type="dxa"/>
            <w:vAlign w:val="center"/>
          </w:tcPr>
          <w:p w14:paraId="608B46AE">
            <w:pPr>
              <w:snapToGrid w:val="0"/>
              <w:spacing w:before="39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该工单系统实现了故障上报、分配、处理到反馈的全流程闭环。用户通过多入口上报故障或申诉后，系统自动创建工单并关联相关设备与订单信息。工单按类型分派至对应部门（如设备故障派至运维、账单问题派至客服），处理人员可查看详情并更新状态。处理完成后系统同步更新数据、通知用户并归档工单，形成可追溯的完整处理链路</w:t>
            </w:r>
          </w:p>
        </w:tc>
        <w:tc>
          <w:tcPr>
            <w:tcW w:w="0" w:type="auto"/>
            <w:vAlign w:val="center"/>
          </w:tcPr>
          <w:p w14:paraId="356DE981">
            <w:pPr>
              <w:snapToGrid w:val="0"/>
              <w:spacing w:before="1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42415203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</w:t>
            </w:r>
            <w:bookmarkStart w:id="1" w:name="_GoBack"/>
            <w:bookmarkEnd w:id="1"/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工具</w:t>
            </w:r>
          </w:p>
        </w:tc>
        <w:tc>
          <w:tcPr>
            <w:tcW w:w="3842" w:type="dxa"/>
            <w:vAlign w:val="center"/>
          </w:tcPr>
          <w:p w14:paraId="3ED9BF45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278" w:type="dxa"/>
            <w:vAlign w:val="center"/>
          </w:tcPr>
          <w:p w14:paraId="545A812A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7086DD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77A90CE4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793" w:type="dxa"/>
            <w:vAlign w:val="center"/>
          </w:tcPr>
          <w:p w14:paraId="52C9789C">
            <w:pPr>
              <w:snapToGrid w:val="0"/>
              <w:spacing w:before="78"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深信服防火墙</w:t>
            </w:r>
          </w:p>
        </w:tc>
        <w:tc>
          <w:tcPr>
            <w:tcW w:w="4584" w:type="dxa"/>
            <w:vAlign w:val="center"/>
          </w:tcPr>
          <w:p w14:paraId="3F79CAEB">
            <w:pPr>
              <w:snapToGrid w:val="0"/>
              <w:spacing w:before="78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深信服安全监控工具是一个集态势感知、威胁分析与实时响应于一体的网络安全运营平台。它实时监控全网攻击态势，通过攻击地图可视化和TOP排名展示业务威胁（如暴力破解、漏洞攻击），同时监测内网用户终端风险（如恶意链接、木马）。平台支持一键封锁攻击IP、推送终端杀毒通知，并与EDR联动处置，实现从威胁发现、分析到阻断的闭环管理。所有事件可筛选、搜索并生成安全报表，为运维人员提供全面的网络安全监控与快速响应能力</w:t>
            </w:r>
          </w:p>
        </w:tc>
        <w:tc>
          <w:tcPr>
            <w:tcW w:w="1201" w:type="dxa"/>
            <w:vAlign w:val="center"/>
          </w:tcPr>
          <w:p w14:paraId="43B2FCB0">
            <w:pPr>
              <w:snapToGrid w:val="0"/>
              <w:spacing w:before="1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36ADD94F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外购工具</w:t>
            </w:r>
          </w:p>
        </w:tc>
        <w:tc>
          <w:tcPr>
            <w:tcW w:w="3842" w:type="dxa"/>
            <w:vAlign w:val="center"/>
          </w:tcPr>
          <w:p w14:paraId="1626175F">
            <w:pPr>
              <w:snapToGrid w:val="0"/>
              <w:spacing w:before="4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hAnsi="宋体" w:eastAsia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278" w:type="dxa"/>
            <w:vAlign w:val="center"/>
          </w:tcPr>
          <w:p w14:paraId="1BCECE47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658907D7">
      <w:pPr>
        <w:pStyle w:val="12"/>
      </w:pPr>
    </w:p>
    <w:sectPr>
      <w:pgSz w:w="16839" w:h="11906" w:orient="landscape"/>
      <w:pgMar w:top="1417" w:right="1437" w:bottom="1283" w:left="1152" w:header="927" w:footer="98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CF4BF0">
    <w:pPr>
      <w:spacing w:line="169" w:lineRule="auto"/>
      <w:ind w:left="5913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B1CD1">
    <w:pPr>
      <w:spacing w:before="47" w:line="232" w:lineRule="auto"/>
      <w:ind w:left="7874" w:right="516" w:hanging="817"/>
      <w:rPr>
        <w:rFonts w:ascii="仿宋" w:hAnsi="仿宋" w:eastAsia="仿宋" w:cs="仿宋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283824"/>
    <w:rsid w:val="0D1150F2"/>
    <w:rsid w:val="11E50D0F"/>
    <w:rsid w:val="125606F6"/>
    <w:rsid w:val="186B3909"/>
    <w:rsid w:val="18DE232D"/>
    <w:rsid w:val="2C892158"/>
    <w:rsid w:val="3E7C6E1B"/>
    <w:rsid w:val="4125649B"/>
    <w:rsid w:val="4B103D18"/>
    <w:rsid w:val="5F782D20"/>
    <w:rsid w:val="64C40583"/>
    <w:rsid w:val="6AA41109"/>
    <w:rsid w:val="6DA2484C"/>
    <w:rsid w:val="789D27E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492</Words>
  <Characters>555</Characters>
  <Lines>0</Lines>
  <Paragraphs>0</Paragraphs>
  <TotalTime>108</TotalTime>
  <ScaleCrop>false</ScaleCrop>
  <LinksUpToDate>false</LinksUpToDate>
  <CharactersWithSpaces>561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2025-08-12T10:22:00Z</dcterms:created>
  <dc:creator>3</dc:creator>
  <cp:lastModifiedBy>郝宇</cp:lastModifiedBy>
  <dcterms:modified xsi:type="dcterms:W3CDTF">2026-02-08T02:55:27Z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2025-08-15T15:20:27Z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C8D3919C4E0A49589CED9BCAF0AF533E_13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