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46A876">
      <w:pPr>
        <w:pStyle w:val="31"/>
        <w:bidi w:val="0"/>
      </w:pPr>
    </w:p>
    <w:p w14:paraId="7AC6F14B">
      <w:pPr>
        <w:pStyle w:val="31"/>
        <w:bidi w:val="0"/>
      </w:pPr>
    </w:p>
    <w:p w14:paraId="1FA4CA77">
      <w:pPr>
        <w:pStyle w:val="31"/>
        <w:bidi w:val="0"/>
      </w:pPr>
      <w:bookmarkStart w:id="0" w:name="_Toc3352"/>
      <w:r>
        <w:t>服务台应用提升情况说明</w:t>
      </w:r>
      <w:bookmarkEnd w:id="0"/>
    </w:p>
    <w:p w14:paraId="2FC731CD">
      <w:pPr>
        <w:pStyle w:val="32"/>
        <w:bidi w:val="0"/>
      </w:pPr>
      <w:bookmarkStart w:id="1" w:name="_Toc4235"/>
      <w:r>
        <w:t>中达丰集团有限公司</w:t>
      </w:r>
      <w:bookmarkEnd w:id="1"/>
    </w:p>
    <w:p w14:paraId="26FFAE23">
      <w:pPr>
        <w:spacing w:before="224" w:line="220" w:lineRule="auto"/>
        <w:ind w:left="2808"/>
        <w:rPr>
          <w:rFonts w:ascii="宋体" w:hAnsi="宋体" w:eastAsia="宋体" w:cs="宋体"/>
          <w:sz w:val="36"/>
          <w:szCs w:val="36"/>
        </w:rPr>
      </w:pPr>
      <w:r>
        <w:rPr>
          <w:rFonts w:ascii="宋体" w:hAnsi="宋体" w:eastAsia="宋体" w:cs="宋体"/>
          <w:spacing w:val="-10"/>
          <w:sz w:val="36"/>
          <w:szCs w:val="36"/>
        </w:rPr>
        <w:t>2025年</w:t>
      </w:r>
      <w:r>
        <w:rPr>
          <w:rFonts w:hint="eastAsia" w:ascii="宋体" w:hAnsi="宋体" w:eastAsia="宋体" w:cs="宋体"/>
          <w:spacing w:val="-10"/>
          <w:sz w:val="36"/>
          <w:szCs w:val="36"/>
          <w:lang w:val="en-US" w:eastAsia="zh-CN"/>
        </w:rPr>
        <w:t>1</w:t>
      </w:r>
      <w:r>
        <w:rPr>
          <w:rFonts w:hint="eastAsia" w:ascii="宋体" w:hAnsi="宋体" w:cs="宋体"/>
          <w:spacing w:val="-10"/>
          <w:sz w:val="36"/>
          <w:szCs w:val="36"/>
          <w:lang w:val="en-US" w:eastAsia="zh-CN"/>
        </w:rPr>
        <w:t>2</w:t>
      </w:r>
      <w:r>
        <w:rPr>
          <w:rFonts w:ascii="宋体" w:hAnsi="宋体" w:eastAsia="宋体" w:cs="宋体"/>
          <w:spacing w:val="-10"/>
          <w:sz w:val="36"/>
          <w:szCs w:val="36"/>
        </w:rPr>
        <w:t>月20日</w:t>
      </w:r>
    </w:p>
    <w:p w14:paraId="620B3FC7">
      <w:pPr>
        <w:spacing w:line="220" w:lineRule="auto"/>
        <w:rPr>
          <w:rFonts w:ascii="宋体" w:hAnsi="宋体" w:eastAsia="宋体" w:cs="宋体"/>
          <w:sz w:val="36"/>
          <w:szCs w:val="36"/>
        </w:rPr>
        <w:sectPr>
          <w:headerReference r:id="rId5" w:type="default"/>
          <w:pgSz w:w="11906" w:h="16839"/>
          <w:pgMar w:top="1097" w:right="1767" w:bottom="0" w:left="1768" w:header="1082" w:footer="0" w:gutter="0"/>
          <w:cols w:space="720" w:num="1"/>
        </w:sectPr>
      </w:pPr>
    </w:p>
    <w:p w14:paraId="49B44EC2">
      <w:pPr>
        <w:spacing w:before="91" w:line="220" w:lineRule="auto"/>
        <w:ind w:left="3778"/>
        <w:outlineLvl w:val="0"/>
        <w:rPr>
          <w:rFonts w:ascii="宋体" w:hAnsi="宋体" w:eastAsia="宋体" w:cs="宋体"/>
          <w:sz w:val="28"/>
          <w:szCs w:val="28"/>
        </w:rPr>
      </w:pPr>
      <w:bookmarkStart w:id="2" w:name="_Toc1484"/>
      <w:r>
        <w:rPr>
          <w:rFonts w:ascii="宋体" w:hAnsi="宋体" w:eastAsia="宋体" w:cs="宋体"/>
          <w:spacing w:val="-3"/>
          <w:sz w:val="28"/>
          <w:szCs w:val="28"/>
        </w:rPr>
        <w:t>文档信息</w:t>
      </w:r>
      <w:bookmarkEnd w:id="2"/>
    </w:p>
    <w:tbl>
      <w:tblPr>
        <w:tblStyle w:val="24"/>
        <w:tblW w:w="863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2"/>
        <w:gridCol w:w="1557"/>
        <w:gridCol w:w="2121"/>
        <w:gridCol w:w="1698"/>
        <w:gridCol w:w="1561"/>
      </w:tblGrid>
      <w:tr w14:paraId="2BD46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2" w:type="dxa"/>
          </w:tcPr>
          <w:p w14:paraId="38DC8357">
            <w:pPr>
              <w:pStyle w:val="25"/>
              <w:spacing w:before="139" w:line="220" w:lineRule="auto"/>
              <w:ind w:left="224"/>
            </w:pPr>
            <w:r>
              <w:rPr>
                <w:spacing w:val="-2"/>
              </w:rPr>
              <w:t>文档名称编号</w:t>
            </w:r>
          </w:p>
        </w:tc>
        <w:tc>
          <w:tcPr>
            <w:tcW w:w="6937" w:type="dxa"/>
            <w:gridSpan w:val="4"/>
          </w:tcPr>
          <w:p w14:paraId="6514C4A2">
            <w:pPr>
              <w:pStyle w:val="25"/>
              <w:spacing w:before="139" w:line="220" w:lineRule="auto"/>
              <w:ind w:left="108"/>
            </w:pPr>
            <w:r>
              <w:rPr>
                <w:spacing w:val="-1"/>
              </w:rPr>
              <w:t>服务台应用提升情况说明</w:t>
            </w:r>
          </w:p>
        </w:tc>
      </w:tr>
      <w:tr w14:paraId="515A3E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1F358646">
            <w:pPr>
              <w:pStyle w:val="25"/>
              <w:spacing w:before="136" w:line="220" w:lineRule="auto"/>
              <w:ind w:left="434"/>
            </w:pPr>
            <w:r>
              <w:rPr>
                <w:spacing w:val="-2"/>
              </w:rPr>
              <w:t>编制单位</w:t>
            </w:r>
          </w:p>
        </w:tc>
        <w:tc>
          <w:tcPr>
            <w:tcW w:w="6937" w:type="dxa"/>
            <w:gridSpan w:val="4"/>
          </w:tcPr>
          <w:p w14:paraId="584AB963">
            <w:pPr>
              <w:pStyle w:val="25"/>
              <w:spacing w:before="137" w:line="219" w:lineRule="auto"/>
              <w:ind w:left="108"/>
            </w:pPr>
            <w:r>
              <w:rPr>
                <w:spacing w:val="-1"/>
              </w:rPr>
              <w:t>中达丰集团有限公司</w:t>
            </w:r>
          </w:p>
        </w:tc>
      </w:tr>
      <w:tr w14:paraId="2F0D0B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7AA67726">
            <w:pPr>
              <w:pStyle w:val="25"/>
              <w:spacing w:before="139" w:line="219" w:lineRule="auto"/>
              <w:ind w:left="434"/>
            </w:pPr>
            <w:r>
              <w:rPr>
                <w:spacing w:val="-2"/>
              </w:rPr>
              <w:t>文档版本</w:t>
            </w:r>
          </w:p>
        </w:tc>
        <w:tc>
          <w:tcPr>
            <w:tcW w:w="1557" w:type="dxa"/>
          </w:tcPr>
          <w:p w14:paraId="12F8463B">
            <w:pPr>
              <w:pStyle w:val="25"/>
              <w:spacing w:before="139" w:line="219" w:lineRule="auto"/>
              <w:ind w:left="360"/>
            </w:pPr>
            <w:r>
              <w:rPr>
                <w:spacing w:val="-2"/>
              </w:rPr>
              <w:t>版本日期</w:t>
            </w:r>
          </w:p>
        </w:tc>
        <w:tc>
          <w:tcPr>
            <w:tcW w:w="2121" w:type="dxa"/>
          </w:tcPr>
          <w:p w14:paraId="453F9105">
            <w:pPr>
              <w:pStyle w:val="25"/>
              <w:spacing w:before="139" w:line="219" w:lineRule="auto"/>
              <w:ind w:left="645"/>
            </w:pPr>
            <w:r>
              <w:rPr>
                <w:spacing w:val="-2"/>
              </w:rPr>
              <w:t>版本说明</w:t>
            </w:r>
          </w:p>
        </w:tc>
        <w:tc>
          <w:tcPr>
            <w:tcW w:w="1698" w:type="dxa"/>
          </w:tcPr>
          <w:p w14:paraId="2AE1E0FE">
            <w:pPr>
              <w:pStyle w:val="25"/>
              <w:spacing w:before="139" w:line="220" w:lineRule="auto"/>
              <w:ind w:left="593"/>
            </w:pPr>
            <w:r>
              <w:rPr>
                <w:spacing w:val="-5"/>
              </w:rPr>
              <w:t>作</w:t>
            </w:r>
            <w:r>
              <w:rPr>
                <w:spacing w:val="9"/>
              </w:rPr>
              <w:t xml:space="preserve"> </w:t>
            </w:r>
            <w:r>
              <w:rPr>
                <w:spacing w:val="-5"/>
              </w:rPr>
              <w:t>者</w:t>
            </w:r>
          </w:p>
        </w:tc>
        <w:tc>
          <w:tcPr>
            <w:tcW w:w="1561" w:type="dxa"/>
          </w:tcPr>
          <w:p w14:paraId="4BEEB867">
            <w:pPr>
              <w:pStyle w:val="25"/>
              <w:spacing w:before="139" w:line="220" w:lineRule="auto"/>
              <w:ind w:left="586"/>
            </w:pPr>
            <w:r>
              <w:rPr>
                <w:spacing w:val="-5"/>
              </w:rPr>
              <w:t>审核</w:t>
            </w:r>
          </w:p>
        </w:tc>
      </w:tr>
      <w:tr w14:paraId="7DE16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188B76AE">
            <w:pPr>
              <w:pStyle w:val="25"/>
              <w:spacing w:before="104" w:line="239" w:lineRule="auto"/>
              <w:ind w:left="637"/>
            </w:pPr>
            <w:r>
              <w:rPr>
                <w:spacing w:val="-1"/>
              </w:rPr>
              <w:t>V1.0</w:t>
            </w:r>
          </w:p>
        </w:tc>
        <w:tc>
          <w:tcPr>
            <w:tcW w:w="1557" w:type="dxa"/>
          </w:tcPr>
          <w:p w14:paraId="04486928">
            <w:pPr>
              <w:pStyle w:val="25"/>
              <w:spacing w:before="104"/>
              <w:ind w:left="362"/>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0</w:t>
            </w:r>
          </w:p>
        </w:tc>
        <w:tc>
          <w:tcPr>
            <w:tcW w:w="2121" w:type="dxa"/>
          </w:tcPr>
          <w:p w14:paraId="59DDB183">
            <w:pPr>
              <w:pStyle w:val="25"/>
              <w:spacing w:before="74" w:line="219" w:lineRule="auto"/>
              <w:ind w:left="647"/>
            </w:pPr>
            <w:r>
              <w:rPr>
                <w:spacing w:val="-3"/>
              </w:rPr>
              <w:t>发布版本</w:t>
            </w:r>
          </w:p>
        </w:tc>
        <w:tc>
          <w:tcPr>
            <w:tcW w:w="1698" w:type="dxa"/>
          </w:tcPr>
          <w:p w14:paraId="111C03DC">
            <w:pPr>
              <w:pStyle w:val="25"/>
              <w:spacing w:before="75" w:line="220" w:lineRule="auto"/>
              <w:ind w:left="550"/>
              <w:rPr>
                <w:rFonts w:hint="eastAsia" w:eastAsia="宋体"/>
                <w:lang w:val="en-US" w:eastAsia="zh-CN"/>
              </w:rPr>
            </w:pPr>
            <w:r>
              <w:rPr>
                <w:rFonts w:hint="eastAsia"/>
                <w:lang w:val="en-US" w:eastAsia="zh-CN"/>
              </w:rPr>
              <w:t>肖龙莽</w:t>
            </w:r>
          </w:p>
        </w:tc>
        <w:tc>
          <w:tcPr>
            <w:tcW w:w="1561" w:type="dxa"/>
          </w:tcPr>
          <w:p w14:paraId="7AA7C3C2">
            <w:pPr>
              <w:pStyle w:val="25"/>
              <w:spacing w:before="74" w:line="220" w:lineRule="auto"/>
              <w:ind w:left="476"/>
            </w:pPr>
            <w:r>
              <w:rPr>
                <w:spacing w:val="-3"/>
              </w:rPr>
              <w:t>吴向阳</w:t>
            </w:r>
          </w:p>
        </w:tc>
      </w:tr>
      <w:tr w14:paraId="1EF2A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02DDC537">
            <w:pPr>
              <w:rPr>
                <w:rFonts w:ascii="Arial"/>
                <w:sz w:val="21"/>
              </w:rPr>
            </w:pPr>
          </w:p>
        </w:tc>
        <w:tc>
          <w:tcPr>
            <w:tcW w:w="1557" w:type="dxa"/>
          </w:tcPr>
          <w:p w14:paraId="416B11CC">
            <w:pPr>
              <w:rPr>
                <w:rFonts w:ascii="Arial"/>
                <w:sz w:val="21"/>
              </w:rPr>
            </w:pPr>
          </w:p>
        </w:tc>
        <w:tc>
          <w:tcPr>
            <w:tcW w:w="2121" w:type="dxa"/>
          </w:tcPr>
          <w:p w14:paraId="38A9B158">
            <w:pPr>
              <w:rPr>
                <w:rFonts w:ascii="Arial"/>
                <w:sz w:val="21"/>
              </w:rPr>
            </w:pPr>
          </w:p>
        </w:tc>
        <w:tc>
          <w:tcPr>
            <w:tcW w:w="1698" w:type="dxa"/>
          </w:tcPr>
          <w:p w14:paraId="7648901A">
            <w:pPr>
              <w:rPr>
                <w:rFonts w:ascii="Arial"/>
                <w:sz w:val="21"/>
              </w:rPr>
            </w:pPr>
          </w:p>
        </w:tc>
        <w:tc>
          <w:tcPr>
            <w:tcW w:w="1561" w:type="dxa"/>
          </w:tcPr>
          <w:p w14:paraId="05757B88">
            <w:pPr>
              <w:rPr>
                <w:rFonts w:ascii="Arial"/>
                <w:sz w:val="21"/>
              </w:rPr>
            </w:pPr>
          </w:p>
        </w:tc>
      </w:tr>
      <w:tr w14:paraId="73EB1D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2" w:type="dxa"/>
          </w:tcPr>
          <w:p w14:paraId="23DF5C93">
            <w:pPr>
              <w:rPr>
                <w:rFonts w:ascii="Arial"/>
                <w:sz w:val="21"/>
              </w:rPr>
            </w:pPr>
          </w:p>
        </w:tc>
        <w:tc>
          <w:tcPr>
            <w:tcW w:w="1557" w:type="dxa"/>
          </w:tcPr>
          <w:p w14:paraId="6F9FB757">
            <w:pPr>
              <w:rPr>
                <w:rFonts w:ascii="Arial"/>
                <w:sz w:val="21"/>
              </w:rPr>
            </w:pPr>
          </w:p>
        </w:tc>
        <w:tc>
          <w:tcPr>
            <w:tcW w:w="2121" w:type="dxa"/>
          </w:tcPr>
          <w:p w14:paraId="4AE3EB73">
            <w:pPr>
              <w:rPr>
                <w:rFonts w:ascii="Arial"/>
                <w:sz w:val="21"/>
              </w:rPr>
            </w:pPr>
          </w:p>
        </w:tc>
        <w:tc>
          <w:tcPr>
            <w:tcW w:w="1698" w:type="dxa"/>
          </w:tcPr>
          <w:p w14:paraId="68CDDBEE">
            <w:pPr>
              <w:rPr>
                <w:rFonts w:ascii="Arial"/>
                <w:sz w:val="21"/>
              </w:rPr>
            </w:pPr>
          </w:p>
        </w:tc>
        <w:tc>
          <w:tcPr>
            <w:tcW w:w="1561" w:type="dxa"/>
          </w:tcPr>
          <w:p w14:paraId="121A2F84">
            <w:pPr>
              <w:rPr>
                <w:rFonts w:ascii="Arial"/>
                <w:sz w:val="21"/>
              </w:rPr>
            </w:pPr>
          </w:p>
        </w:tc>
      </w:tr>
      <w:tr w14:paraId="37978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2" w:type="dxa"/>
          </w:tcPr>
          <w:p w14:paraId="3277ED5A">
            <w:pPr>
              <w:rPr>
                <w:rFonts w:ascii="Arial"/>
                <w:sz w:val="21"/>
              </w:rPr>
            </w:pPr>
          </w:p>
        </w:tc>
        <w:tc>
          <w:tcPr>
            <w:tcW w:w="1557" w:type="dxa"/>
          </w:tcPr>
          <w:p w14:paraId="4E6D2D4B">
            <w:pPr>
              <w:rPr>
                <w:rFonts w:ascii="Arial"/>
                <w:sz w:val="21"/>
              </w:rPr>
            </w:pPr>
          </w:p>
        </w:tc>
        <w:tc>
          <w:tcPr>
            <w:tcW w:w="2121" w:type="dxa"/>
          </w:tcPr>
          <w:p w14:paraId="5A84FE01">
            <w:pPr>
              <w:rPr>
                <w:rFonts w:ascii="Arial"/>
                <w:sz w:val="21"/>
              </w:rPr>
            </w:pPr>
          </w:p>
        </w:tc>
        <w:tc>
          <w:tcPr>
            <w:tcW w:w="1698" w:type="dxa"/>
          </w:tcPr>
          <w:p w14:paraId="76F4AA69">
            <w:pPr>
              <w:rPr>
                <w:rFonts w:ascii="Arial"/>
                <w:sz w:val="21"/>
              </w:rPr>
            </w:pPr>
          </w:p>
        </w:tc>
        <w:tc>
          <w:tcPr>
            <w:tcW w:w="1561" w:type="dxa"/>
          </w:tcPr>
          <w:p w14:paraId="30813B08">
            <w:pPr>
              <w:rPr>
                <w:rFonts w:ascii="Arial"/>
                <w:sz w:val="21"/>
              </w:rPr>
            </w:pPr>
          </w:p>
        </w:tc>
      </w:tr>
    </w:tbl>
    <w:p w14:paraId="74FD5CD1">
      <w:pPr>
        <w:pStyle w:val="12"/>
      </w:pPr>
    </w:p>
    <w:p w14:paraId="5EDDCB3E">
      <w:pPr>
        <w:sectPr>
          <w:headerReference r:id="rId6" w:type="default"/>
          <w:pgSz w:w="11906" w:h="16839"/>
          <w:pgMar w:top="1097" w:right="1627" w:bottom="0" w:left="1628" w:header="1082" w:footer="0" w:gutter="0"/>
          <w:cols w:space="720" w:num="1"/>
        </w:sectPr>
      </w:pPr>
    </w:p>
    <w:sdt>
      <w:sdtPr>
        <w:rPr>
          <w:rFonts w:ascii="宋体" w:hAnsi="宋体" w:eastAsia="宋体" w:cs="Arial"/>
          <w:snapToGrid w:val="0"/>
          <w:color w:val="000000"/>
          <w:kern w:val="0"/>
          <w:sz w:val="21"/>
          <w:szCs w:val="21"/>
          <w:lang w:val="en-US" w:eastAsia="en-US" w:bidi="ar-SA"/>
        </w:rPr>
        <w:id w:val="147467022"/>
        <w:docPartObj>
          <w:docPartGallery w:val="Table of Contents"/>
          <w:docPartUnique/>
        </w:docPartObj>
      </w:sdtPr>
      <w:sdtEndPr>
        <w:rPr>
          <w:rFonts w:ascii="Cambria" w:hAnsi="Cambria" w:eastAsia="Cambria" w:cs="Cambria"/>
          <w:snapToGrid w:val="0"/>
          <w:color w:val="000000"/>
          <w:kern w:val="0"/>
          <w:sz w:val="21"/>
          <w:szCs w:val="24"/>
          <w:lang w:val="en-US" w:eastAsia="en-US" w:bidi="ar-SA"/>
        </w:rPr>
      </w:sdtEndPr>
      <w:sdtContent>
        <w:p w14:paraId="274CC381">
          <w:pPr>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73C6398E">
          <w:pPr>
            <w:pStyle w:val="16"/>
            <w:tabs>
              <w:tab w:val="right" w:leader="dot" w:pos="9724"/>
            </w:tabs>
          </w:pPr>
          <w:bookmarkStart w:id="9" w:name="_GoBack"/>
          <w:bookmarkEnd w:id="9"/>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_Toc3352 </w:instrText>
          </w:r>
          <w:r>
            <w:rPr>
              <w:rFonts w:hint="eastAsia" w:ascii="Microsoft JhengHei" w:hAnsi="Microsoft JhengHei" w:eastAsia="Microsoft JhengHei" w:cs="Microsoft JhengHei"/>
              <w:szCs w:val="24"/>
            </w:rPr>
            <w:fldChar w:fldCharType="separate"/>
          </w:r>
          <w:r>
            <w:t>服务台应用提升情况说明</w:t>
          </w:r>
          <w:r>
            <w:tab/>
          </w:r>
          <w:r>
            <w:fldChar w:fldCharType="begin"/>
          </w:r>
          <w:r>
            <w:instrText xml:space="preserve"> PAGEREF _Toc3352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D813F51">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_Toc4235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_Toc4235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DE254C2">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_Toc1484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_Toc1484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697DEE02">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_Toc4585 </w:instrText>
          </w:r>
          <w:r>
            <w:rPr>
              <w:rFonts w:hint="eastAsia" w:ascii="Microsoft JhengHei" w:hAnsi="Microsoft JhengHei" w:eastAsia="Microsoft JhengHei" w:cs="Microsoft JhengHei"/>
              <w:szCs w:val="24"/>
            </w:rPr>
            <w:fldChar w:fldCharType="separate"/>
          </w:r>
          <w:r>
            <w:rPr>
              <w:rFonts w:hint="default"/>
            </w:rPr>
            <w:t xml:space="preserve">1. </w:t>
          </w:r>
          <w:r>
            <w:t>服务台概况</w:t>
          </w:r>
          <w:r>
            <w:tab/>
          </w:r>
          <w:r>
            <w:fldChar w:fldCharType="begin"/>
          </w:r>
          <w:r>
            <w:instrText xml:space="preserve"> PAGEREF _Toc4585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25A0131">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_Toc10723 </w:instrText>
          </w:r>
          <w:r>
            <w:rPr>
              <w:rFonts w:hint="eastAsia" w:ascii="Microsoft JhengHei" w:hAnsi="Microsoft JhengHei" w:eastAsia="Microsoft JhengHei" w:cs="Microsoft JhengHei"/>
              <w:szCs w:val="24"/>
            </w:rPr>
            <w:fldChar w:fldCharType="separate"/>
          </w:r>
          <w:r>
            <w:rPr>
              <w:rFonts w:hint="default"/>
            </w:rPr>
            <w:t xml:space="preserve">2. </w:t>
          </w:r>
          <w:r>
            <w:t>严格要求服务台工作</w:t>
          </w:r>
          <w:r>
            <w:tab/>
          </w:r>
          <w:r>
            <w:fldChar w:fldCharType="begin"/>
          </w:r>
          <w:r>
            <w:instrText xml:space="preserve"> PAGEREF _Toc10723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04F3CAE">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_Toc27951 </w:instrText>
          </w:r>
          <w:r>
            <w:rPr>
              <w:rFonts w:hint="eastAsia" w:ascii="Microsoft JhengHei" w:hAnsi="Microsoft JhengHei" w:eastAsia="Microsoft JhengHei" w:cs="Microsoft JhengHei"/>
              <w:szCs w:val="24"/>
            </w:rPr>
            <w:fldChar w:fldCharType="separate"/>
          </w:r>
          <w:r>
            <w:rPr>
              <w:rFonts w:hint="default"/>
            </w:rPr>
            <w:t xml:space="preserve">2.1. </w:t>
          </w:r>
          <w:r>
            <w:t>提升服务台工作效率</w:t>
          </w:r>
          <w:r>
            <w:tab/>
          </w:r>
          <w:r>
            <w:fldChar w:fldCharType="begin"/>
          </w:r>
          <w:r>
            <w:instrText xml:space="preserve"> PAGEREF _Toc27951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05CC1F8">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_Toc273 </w:instrText>
          </w:r>
          <w:r>
            <w:rPr>
              <w:rFonts w:hint="eastAsia" w:ascii="Microsoft JhengHei" w:hAnsi="Microsoft JhengHei" w:eastAsia="Microsoft JhengHei" w:cs="Microsoft JhengHei"/>
              <w:szCs w:val="24"/>
            </w:rPr>
            <w:fldChar w:fldCharType="separate"/>
          </w:r>
          <w:r>
            <w:rPr>
              <w:rFonts w:hint="default"/>
            </w:rPr>
            <w:t xml:space="preserve">2.2. </w:t>
          </w:r>
          <w:r>
            <w:t>服务台</w:t>
          </w:r>
          <w:r>
            <w:rPr>
              <w:rFonts w:hint="eastAsia"/>
              <w:lang w:val="en-US" w:eastAsia="zh-CN"/>
            </w:rPr>
            <w:t>指标完成情况</w:t>
          </w:r>
          <w:r>
            <w:tab/>
          </w:r>
          <w:r>
            <w:fldChar w:fldCharType="begin"/>
          </w:r>
          <w:r>
            <w:instrText xml:space="preserve"> PAGEREF _Toc273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53C99C1">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_Toc28108 </w:instrText>
          </w:r>
          <w:r>
            <w:rPr>
              <w:rFonts w:hint="eastAsia" w:ascii="Microsoft JhengHei" w:hAnsi="Microsoft JhengHei" w:eastAsia="Microsoft JhengHei" w:cs="Microsoft JhengHei"/>
              <w:szCs w:val="24"/>
            </w:rPr>
            <w:fldChar w:fldCharType="separate"/>
          </w:r>
          <w:r>
            <w:rPr>
              <w:rFonts w:hint="default"/>
              <w:lang w:val="en-US" w:eastAsia="zh-CN"/>
            </w:rPr>
            <w:t xml:space="preserve">3. </w:t>
          </w:r>
          <w:r>
            <w:rPr>
              <w:rFonts w:hint="eastAsia"/>
              <w:lang w:val="en-US" w:eastAsia="zh-CN"/>
            </w:rPr>
            <w:t>总结</w:t>
          </w:r>
          <w:r>
            <w:tab/>
          </w:r>
          <w:r>
            <w:fldChar w:fldCharType="begin"/>
          </w:r>
          <w:r>
            <w:instrText xml:space="preserve"> PAGEREF _Toc28108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B534003">
          <w:pPr>
            <w:spacing w:line="220" w:lineRule="auto"/>
            <w:rPr>
              <w:rFonts w:ascii="Cambria" w:hAnsi="Cambria" w:eastAsia="Cambria" w:cs="Cambria"/>
              <w:snapToGrid w:val="0"/>
              <w:color w:val="000000"/>
              <w:kern w:val="0"/>
              <w:sz w:val="21"/>
              <w:szCs w:val="24"/>
              <w:lang w:val="en-US" w:eastAsia="en-US" w:bidi="ar-SA"/>
            </w:rPr>
          </w:pPr>
          <w:r>
            <w:rPr>
              <w:rFonts w:hint="eastAsia" w:ascii="Microsoft JhengHei" w:hAnsi="Microsoft JhengHei" w:eastAsia="Microsoft JhengHei" w:cs="Microsoft JhengHei"/>
              <w:szCs w:val="24"/>
            </w:rPr>
            <w:fldChar w:fldCharType="end"/>
          </w:r>
        </w:p>
      </w:sdtContent>
    </w:sdt>
    <w:p w14:paraId="10C80334">
      <w:pPr>
        <w:spacing w:line="220" w:lineRule="auto"/>
        <w:rPr>
          <w:rFonts w:ascii="Cambria" w:hAnsi="Cambria" w:eastAsia="Cambria" w:cs="Cambria"/>
          <w:snapToGrid w:val="0"/>
          <w:color w:val="000000"/>
          <w:kern w:val="0"/>
          <w:sz w:val="21"/>
          <w:szCs w:val="24"/>
          <w:lang w:val="en-US" w:eastAsia="en-US" w:bidi="ar-SA"/>
        </w:rPr>
        <w:sectPr>
          <w:headerReference r:id="rId7" w:type="default"/>
          <w:footerReference r:id="rId8" w:type="default"/>
          <w:pgSz w:w="11906" w:h="16839"/>
          <w:pgMar w:top="1660" w:right="1090" w:bottom="1157" w:left="1092" w:header="0" w:footer="990" w:gutter="0"/>
          <w:cols w:space="720" w:num="1"/>
        </w:sectPr>
      </w:pPr>
    </w:p>
    <w:p w14:paraId="49DE68D7">
      <w:pPr>
        <w:pStyle w:val="26"/>
        <w:bidi w:val="0"/>
      </w:pPr>
      <w:bookmarkStart w:id="3" w:name="bookmark1"/>
      <w:bookmarkEnd w:id="3"/>
      <w:bookmarkStart w:id="4" w:name="_Toc4585"/>
      <w:r>
        <w:t>服务台概况</w:t>
      </w:r>
      <w:bookmarkEnd w:id="4"/>
    </w:p>
    <w:p w14:paraId="2BAAE72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服务台是与客户进行沟通和提供服务的重要途径之一，更是未来实现公司业绩成长的重要渠道。所以为了提高客服水平，特制定服务台运行服务管理制度，对所提供服务的产品或业务，交付和交付后的活动进行管理，将客户问题记录到《问题反馈单》，为客户提供专业化和规范化的服务。</w:t>
      </w:r>
    </w:p>
    <w:p w14:paraId="4DBDFA5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公司设置统一对外服务电话，设置专职客户专员担任服务台，实现5*8小时的电话接听，并在其他时间转接到服务台的手机，达到7*24小时的远程服务支持。</w:t>
      </w:r>
    </w:p>
    <w:p w14:paraId="0E67F82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服务台的基本功能是接收用户的各类使用问题请求，并在规定时间内为用户直接远程解决相关问题，如遇复杂问题则转交二线支持，同时还需跟踪解决情况并及时反馈以便最终解决用户问题。在此基础上，服务台还要对服务过程和结果进行记录，以便分析总结，提高问题解决速度，保证服务SLA的达成。</w:t>
      </w:r>
    </w:p>
    <w:p w14:paraId="4427CDF3">
      <w:pPr>
        <w:pStyle w:val="26"/>
        <w:bidi w:val="0"/>
      </w:pPr>
      <w:bookmarkStart w:id="5" w:name="_Toc10723"/>
      <w:r>
        <w:t>严格要求服务台工作</w:t>
      </w:r>
      <w:bookmarkEnd w:id="5"/>
    </w:p>
    <w:p w14:paraId="717C8D4A">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通过严格执行《服务台操作手册》、《服务台管理制度》明确客服的操作职责，结合公司往年的运行情况，2025年4月至2026年3月服务台录入事件的完整性目标值要求需达到95%。</w:t>
      </w:r>
    </w:p>
    <w:p w14:paraId="65426A8C">
      <w:pPr>
        <w:pStyle w:val="28"/>
        <w:bidi w:val="0"/>
      </w:pPr>
      <w:bookmarkStart w:id="6" w:name="_Toc27951"/>
      <w:r>
        <w:t>提升服务台工作效率</w:t>
      </w:r>
      <w:bookmarkEnd w:id="6"/>
    </w:p>
    <w:p w14:paraId="220AB178">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运维服务入口的统一，并达到服务台的标准化和规范化:所有运维请求，都需通过服务台，由服务台首先接单，然后统一分派人员解决问题，使服务台成为真正的唯一联系点，方便为客户提供服务。通过建立服务台规范和制度，明确服务台的首问责任制，并采取标准化用语和处理流程，大幅提升服务台的规范化和标准化，提升公司的服务形象。</w:t>
      </w:r>
    </w:p>
    <w:p w14:paraId="73BD13E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服务水平协议(SLA)的标准化管理:在运维项目立项或签订合同时，就与用户商定好各类故障和问题的不同级别和响应时间，根据服务级别来有序解决。在明确双方要求的基础上，大幅提高客户满意度，并为运维团队提供考核依据。</w:t>
      </w:r>
    </w:p>
    <w:p w14:paraId="0B17F29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随着运维项目的增加，客户需求与问题增多，为提升服务效率，增加坐席人员。实现流程、运维软件和人员的集成:服务台承担起监控管理和主动改善IT现状的职责，结合运维管理平台实现整个运维过程的可视化和可追溯管理。在运维管理平台的辅助下，结合服务台记录的数据和专家团队的经验可快速给出服务台运营报告，并提出改进建议，避免常见问题重复发生，主动防患运维风险，使运维服务变被动为主动改善。</w:t>
      </w:r>
    </w:p>
    <w:p w14:paraId="435AE77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总体来说，服务台首先实现统一规范管理并同时处理大量的服务请求，避免了因找不到特定技术人员而耽误时间，降低运营成本;其次通过对服务台的管理，结合建立服务知识，明确服务人员绩效考核等。</w:t>
      </w:r>
    </w:p>
    <w:p w14:paraId="42CFA5C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实现运维服务入口的统一，并达到服务台的标准化和规范化:所有运维请求，都需通过服务台，由服务台首先接单，然后统一分派人员解决问题，使服务台成为真正的唯一联系点，方便为客户提供服务。</w:t>
      </w:r>
    </w:p>
    <w:p w14:paraId="5093E988">
      <w:pPr>
        <w:pStyle w:val="28"/>
        <w:bidi w:val="0"/>
      </w:pPr>
      <w:bookmarkStart w:id="7" w:name="_Toc273"/>
      <w:r>
        <w:t>服务台</w:t>
      </w:r>
      <w:r>
        <w:rPr>
          <w:rFonts w:hint="eastAsia"/>
          <w:lang w:val="en-US" w:eastAsia="zh-CN"/>
        </w:rPr>
        <w:t>指标完成情况</w:t>
      </w:r>
      <w:bookmarkEnd w:id="7"/>
    </w:p>
    <w:p w14:paraId="2B0ADCC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由于实现了服务台的标准化及制度化，并将运维人员分级管理，方便服务台人员对派单，因此服务台录入事件的完整率逐年提升，2025年设定的目标均为95%，经过2025年4月至2025年12月季度KPI跟踪，2025年第二、三和四季度服务台录入事件的完整率均达到100%。</w:t>
      </w:r>
    </w:p>
    <w:p w14:paraId="3947FA59">
      <w:pPr>
        <w:pStyle w:val="26"/>
        <w:bidi w:val="0"/>
        <w:rPr>
          <w:rFonts w:hint="eastAsia"/>
          <w:lang w:val="en-US" w:eastAsia="zh-CN"/>
        </w:rPr>
      </w:pPr>
      <w:bookmarkStart w:id="8" w:name="_Toc28108"/>
      <w:r>
        <w:rPr>
          <w:rFonts w:hint="eastAsia"/>
          <w:lang w:val="en-US" w:eastAsia="zh-CN"/>
        </w:rPr>
        <w:t>总结</w:t>
      </w:r>
      <w:bookmarkEnd w:id="8"/>
    </w:p>
    <w:p w14:paraId="7A7999D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截止2025年12月，公司服务台在“服务台录入事件完整性”这一关键绩效指标上表现优异，不仅稳定达成年度目标，更实现了100%的完整记录，为运维服务的标准化、规范化管理奠定了坚实的数据基础，有效支撑了服务级别协议（SLA）的达成与客户满意度的提升。</w:t>
      </w:r>
    </w:p>
    <w:sectPr>
      <w:headerReference r:id="rId9" w:type="default"/>
      <w:footerReference r:id="rId10" w:type="default"/>
      <w:pgSz w:w="11906" w:h="16839"/>
      <w:pgMar w:top="1240" w:right="1305" w:bottom="885" w:left="1088" w:header="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1B71A">
    <w:pPr>
      <w:spacing w:line="178" w:lineRule="auto"/>
      <w:ind w:left="4822"/>
      <w:rPr>
        <w:rFonts w:ascii="Cambria" w:hAnsi="Cambria" w:eastAsia="Cambria" w:cs="Cambria"/>
        <w:sz w:val="18"/>
        <w:szCs w:val="18"/>
      </w:rPr>
    </w:pPr>
    <w:r>
      <w:rPr>
        <w:rFonts w:ascii="Cambria" w:hAnsi="Cambria" w:eastAsia="Cambria" w:cs="Cambria"/>
        <w:sz w:val="18"/>
        <w:szCs w:val="18"/>
      </w:rPr>
      <w:t>2</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A76F8">
    <w:pPr>
      <w:spacing w:line="177" w:lineRule="auto"/>
      <w:ind w:left="4827"/>
      <w:rPr>
        <w:rFonts w:ascii="Cambria" w:hAnsi="Cambria" w:eastAsia="Cambria" w:cs="Cambria"/>
        <w:sz w:val="18"/>
        <w:szCs w:val="18"/>
      </w:rPr>
    </w:pPr>
    <w:r>
      <w:rPr>
        <w:rFonts w:ascii="Cambria" w:hAnsi="Cambria" w:eastAsia="Cambria" w:cs="Cambria"/>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03DF7">
    <w:pPr>
      <w:pStyle w:val="12"/>
      <w:spacing w:line="52" w:lineRule="auto"/>
      <w:rPr>
        <w:sz w:val="2"/>
      </w:rPr>
    </w:pPr>
    <w:r>
      <w:pict>
        <v:shape id="_x0000_s4097" o:spid="_x0000_s4097" style="position:absolute;left:0pt;margin-left:88.4pt;margin-top:54.1pt;height:0.75pt;width:418.5pt;mso-position-horizontal-relative:page;mso-position-vertical-relative:page;z-index:251659264;mso-width-relative:page;mso-height-relative:page;" filled="f" stroked="t" coordsize="8370,15" o:allowincell="f" path="m0,7l8369,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F651A">
    <w:pPr>
      <w:pStyle w:val="12"/>
      <w:spacing w:line="52" w:lineRule="auto"/>
      <w:rPr>
        <w:sz w:val="2"/>
      </w:rPr>
    </w:pPr>
    <w:r>
      <w:pict>
        <v:shape id="_x0000_s4098" o:spid="_x0000_s4098" style="position:absolute;left:0pt;margin-left:88.4pt;margin-top:54.1pt;height:0.75pt;width:418.5pt;mso-position-horizontal-relative:page;mso-position-vertical-relative:page;z-index:251660288;mso-width-relative:page;mso-height-relative:page;" filled="f" stroked="t" coordsize="8370,15" o:allowincell="f" path="m0,7l8369,7e">
          <v:fill on="f" focussize="0,0"/>
          <v:stroke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A7F0D3">
    <w:pPr>
      <w:pStyle w:val="12"/>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B750F">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2925FE"/>
    <w:rsid w:val="0FB12724"/>
    <w:rsid w:val="10401F77"/>
    <w:rsid w:val="18F2402A"/>
    <w:rsid w:val="1EF2077B"/>
    <w:rsid w:val="4F5B7244"/>
    <w:rsid w:val="65063E3A"/>
    <w:rsid w:val="659A2704"/>
    <w:rsid w:val="6E970129"/>
    <w:rsid w:val="7F374D4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1444</Words>
  <Characters>1519</Characters>
  <Lines>0</Lines>
  <Paragraphs>0</Paragraphs>
  <TotalTime>1</TotalTime>
  <ScaleCrop>false</ScaleCrop>
  <LinksUpToDate>false</LinksUpToDate>
  <CharactersWithSpaces>1549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2025-08-19T17:02:00Z</dcterms:created>
  <dc:creator>健 张</dc:creator>
  <cp:lastModifiedBy>郝宇</cp:lastModifiedBy>
  <dcterms:modified xsi:type="dcterms:W3CDTF">2026-02-07T12:20:13Z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2025-08-21T23:19:59Z</vt:filetime>
  </property>
  <property fmtid="{D5CDD505-2E9C-101B-9397-08002B2CF9AE}" pid="3" name="CRO">
    <vt:lpwstr>wqlLaW5nc29mdCBQREYgdG8gV1BTIDExNQ</vt:lpwstr>
  </property>
  <property fmtid="{D5CDD505-2E9C-101B-9397-08002B2CF9AE}" pid="4" name="ICV">
    <vt:lpwstr>8F2E0A1DFA5B4908BF438CFA6DB17F83_12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