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15809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" w:name="_Toc18772"/>
      <w:r>
        <w:rPr>
          <w:rFonts w:hint="eastAsia"/>
          <w:lang w:val="en-US" w:eastAsia="zh-CN"/>
        </w:rPr>
        <w:t>交付实施方案</w:t>
      </w:r>
      <w:bookmarkEnd w:id="1"/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16916"/>
      <w:r>
        <w:t>中达丰集团有限公司</w:t>
      </w:r>
      <w:bookmarkEnd w:id="2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521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t>运维服务工具应用情况说明（ZDFJT-ITS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YW</w:t>
            </w:r>
            <w:r>
              <w:rPr>
                <w:spacing w:val="-1"/>
              </w:rPr>
              <w:t>GJYYQKSM）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bookmarkStart w:id="10" w:name="_GoBack"/>
            <w:bookmarkEnd w:id="10"/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92298A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_Toc15809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_Toc15809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FF365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_Toc18772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交付实施方案</w:t>
          </w:r>
          <w:r>
            <w:tab/>
          </w:r>
          <w:r>
            <w:fldChar w:fldCharType="begin"/>
          </w:r>
          <w:r>
            <w:instrText xml:space="preserve"> PAGEREF _Toc18772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F86181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_Toc16916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_Toc16916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119FFC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_Toc5213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_Toc5213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C3AB1E8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_Toc31505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项目概述与交付目标</w:t>
          </w:r>
          <w:r>
            <w:tab/>
          </w:r>
          <w:r>
            <w:fldChar w:fldCharType="begin"/>
          </w:r>
          <w:r>
            <w:instrText xml:space="preserve"> PAGEREF _Toc31505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8D8AC0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_Toc13497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项目组织架构与职责分工</w:t>
          </w:r>
          <w:r>
            <w:tab/>
          </w:r>
          <w:r>
            <w:fldChar w:fldCharType="begin"/>
          </w:r>
          <w:r>
            <w:instrText xml:space="preserve"> PAGEREF _Toc13497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06F06C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_Toc27431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详细实施计划与时间表</w:t>
          </w:r>
          <w:r>
            <w:tab/>
          </w:r>
          <w:r>
            <w:fldChar w:fldCharType="begin"/>
          </w:r>
          <w:r>
            <w:instrText xml:space="preserve"> PAGEREF _Toc27431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D593EB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_Toc22427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关键技术标准与质量保障措施</w:t>
          </w:r>
          <w:r>
            <w:tab/>
          </w:r>
          <w:r>
            <w:fldChar w:fldCharType="begin"/>
          </w:r>
          <w:r>
            <w:instrText xml:space="preserve"> PAGEREF _Toc22427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B2EECCC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_Toc30004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沟通与协调机制</w:t>
          </w:r>
          <w:r>
            <w:tab/>
          </w:r>
          <w:r>
            <w:fldChar w:fldCharType="begin"/>
          </w:r>
          <w:r>
            <w:instrText xml:space="preserve"> PAGEREF _Toc30004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E5B7C0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_Toc31998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后期运维支持承诺（质保期）</w:t>
          </w:r>
          <w:r>
            <w:tab/>
          </w:r>
          <w:r>
            <w:fldChar w:fldCharType="begin"/>
          </w:r>
          <w:r>
            <w:instrText xml:space="preserve"> PAGEREF _Toc31998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7FB28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24E679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EBE0A7D">
      <w:pPr>
        <w:pStyle w:val="26"/>
        <w:bidi w:val="0"/>
        <w:rPr>
          <w:rFonts w:hint="default"/>
          <w:lang w:val="en-US" w:eastAsia="zh-CN"/>
        </w:rPr>
      </w:pPr>
      <w:bookmarkStart w:id="4" w:name="_Toc31505"/>
      <w:r>
        <w:rPr>
          <w:rFonts w:hint="default"/>
          <w:lang w:val="en-US" w:eastAsia="zh-CN"/>
        </w:rPr>
        <w:t>项目概述与交付目标</w:t>
      </w:r>
      <w:bookmarkEnd w:id="4"/>
    </w:p>
    <w:p w14:paraId="182330E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项目概述：根据合同约定，本项目将在盐都区辖区内建设60个新能源汽车充电桩，配套建设电力、监控、网络、消防等设施，形成安全、高效、智能的公共充电服务网络。</w:t>
      </w:r>
    </w:p>
    <w:p w14:paraId="1F66F94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交付目标：在2026年3月31日前，完成所有充电站点的勘察、设计、设备采购、施工安装、系统调试及竣工验收工作，确保所有充电桩100%可用，并通过甲方组织的最终验收，实现项目整体移交。</w:t>
      </w:r>
    </w:p>
    <w:p w14:paraId="402F6E3E">
      <w:pPr>
        <w:pStyle w:val="26"/>
        <w:bidi w:val="0"/>
        <w:rPr>
          <w:rFonts w:hint="default"/>
          <w:lang w:val="en-US" w:eastAsia="zh-CN"/>
        </w:rPr>
      </w:pPr>
      <w:bookmarkStart w:id="5" w:name="_Toc13497"/>
      <w:r>
        <w:rPr>
          <w:rFonts w:hint="default"/>
          <w:lang w:val="en-US" w:eastAsia="zh-CN"/>
        </w:rPr>
        <w:t>项目组织架构与职责分工</w:t>
      </w:r>
      <w:bookmarkEnd w:id="5"/>
    </w:p>
    <w:p w14:paraId="4AD46AF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为确保项目高效推进，严格遵循公司岗位职责体系，成立专项项目组，组织结构及核心成员职责如下：</w:t>
      </w:r>
    </w:p>
    <w:p w14:paraId="138C0E9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项目总指挥（1名）：副总经理</w:t>
      </w:r>
    </w:p>
    <w:p w14:paraId="39C6AAA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职责：对总经理负责，全面监督项目实施与维护工作。审批项目总体计划与预算，协调解决跨部门重大资源问题，听取项目关键节点汇报，并对项目最终交付质量与客户满意度负领导责任。</w:t>
      </w:r>
    </w:p>
    <w:p w14:paraId="6CD6C05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项目总监（1名）：运维部经理</w:t>
      </w:r>
    </w:p>
    <w:p w14:paraId="1BD01E1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职责：对项目交付的最终结果负责。负责组建项目团队，统筹管理项目全过程的计划、执行、监控与收尾。直接领导运维项目经理，并协调运维部内各专业工程师资源，确保技术方案落地与服务质量。</w:t>
      </w:r>
    </w:p>
    <w:p w14:paraId="681C8A5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项目经理（1名）：运维项目经理</w:t>
      </w:r>
    </w:p>
    <w:p w14:paraId="77E59F2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职责：项目现场第一责任人。负责制定详细的项目实施管理计划与预算，控制项目进度、成本与质量。负责现场日常管理、客户沟通、供应商协调，并严格按流程完成项目交付文档，确保项目按期验收。</w:t>
      </w:r>
    </w:p>
    <w:p w14:paraId="77C8953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项目实施核心团队：</w:t>
      </w:r>
    </w:p>
    <w:p w14:paraId="3785E65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技术支持工程师（1-2名）：负责项目前期的技术方案深化、投标支持，以及实施过程中复杂技术问题的攻关与指导。</w:t>
      </w:r>
    </w:p>
    <w:p w14:paraId="44F8FD4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运维实施工程师（2-3名）：负责现场具体执行工作，包括设备安装、系统调试、用户培训及技术问题的一线解决。</w:t>
      </w:r>
    </w:p>
    <w:p w14:paraId="26D43F1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基础环境运维工程师（1名）： 负责充电站配电、网络布线、接地等基础环境的施工协调、技术监督与验收。</w:t>
      </w:r>
    </w:p>
    <w:p w14:paraId="5A30716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网络工程师（1名）：负责项目网络架构设计与实施，确保充电桩与运营管理平台、监管平台之间的稳定数据通信。</w:t>
      </w:r>
    </w:p>
    <w:p w14:paraId="71E3099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软件运维工程师（1名）：负责充电运营管理平台、监控系统的部署、配置、联调及后期移交培训。</w:t>
      </w:r>
    </w:p>
    <w:p w14:paraId="5A46122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项目支持团队：</w:t>
      </w:r>
    </w:p>
    <w:p w14:paraId="18423E4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采购专员（1名）：负责项目所有设备、材料的采购流程执行，确保合规、及时供应。</w:t>
      </w:r>
    </w:p>
    <w:p w14:paraId="60EEF39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质量部（参与）：质量管理专员在关键节点（如设计评审、设备到货、竣工验收）参与质量检查与过程审计。</w:t>
      </w:r>
    </w:p>
    <w:p w14:paraId="2ABEC25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服务台（后期介入）：项目上线后，客服与服务台经理负责接收并流转用户投诉与故障申告，启动运维服务流程。</w:t>
      </w:r>
    </w:p>
    <w:p w14:paraId="455E787D">
      <w:pPr>
        <w:pStyle w:val="26"/>
        <w:bidi w:val="0"/>
        <w:rPr>
          <w:rFonts w:hint="default"/>
          <w:lang w:val="en-US" w:eastAsia="zh-CN"/>
        </w:rPr>
      </w:pPr>
      <w:bookmarkStart w:id="6" w:name="_Toc27431"/>
      <w:r>
        <w:rPr>
          <w:rFonts w:hint="default"/>
          <w:lang w:val="en-US" w:eastAsia="zh-CN"/>
        </w:rPr>
        <w:t>详细实施计划与时间表</w:t>
      </w:r>
      <w:bookmarkEnd w:id="6"/>
    </w:p>
    <w:p w14:paraId="4028AE0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本方案总工期分为六个核心阶段，具体计划如下：</w:t>
      </w:r>
    </w:p>
    <w:tbl>
      <w:tblPr>
        <w:tblW w:w="99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2793"/>
        <w:gridCol w:w="1239"/>
        <w:gridCol w:w="1889"/>
        <w:gridCol w:w="2720"/>
      </w:tblGrid>
      <w:tr w14:paraId="32C5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27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27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0C2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</w:t>
            </w:r>
          </w:p>
        </w:tc>
        <w:tc>
          <w:tcPr>
            <w:tcW w:w="12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CB9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计划起止时间</w:t>
            </w:r>
          </w:p>
        </w:tc>
        <w:tc>
          <w:tcPr>
            <w:tcW w:w="18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661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关键交付物</w:t>
            </w:r>
          </w:p>
        </w:tc>
        <w:tc>
          <w:tcPr>
            <w:tcW w:w="27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FD8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负责岗位/主责人</w:t>
            </w:r>
          </w:p>
        </w:tc>
      </w:tr>
      <w:tr w14:paraId="2823E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D097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第一阶段：启动与深化设计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4E6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项目启动会，组建团队。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现场详细勘察与点位确认。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完成初步设计及概算，提交甲方审查。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根据审查意见，完成全部施工图设计。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2E5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2025.04.01 - 2025.05.31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3A6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项目章程、现场勘察报告、全套设计图纸及文件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2F25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（统筹）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（方案）</w:t>
            </w:r>
          </w:p>
        </w:tc>
      </w:tr>
      <w:tr w14:paraId="41A39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153D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第二阶段：设备采购与生产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107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制定设备采购清单。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完成核心设备招标/下单。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监督设备生产，进行厂验。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138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2025.06.01 - 2025.08.31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CD4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设备采购合同、生产进度报告、厂验记录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9D11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（技术规格）</w:t>
            </w:r>
          </w:p>
        </w:tc>
      </w:tr>
      <w:tr w14:paraId="4564B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1CCF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第三阶段：基础与土建施工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2EA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办理施工许可。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各站点基础施工、电缆敷设。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配电房、接地系统施工。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604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2025.09.01 - 2025.10.31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29C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施工日志、隐蔽工程验收记录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312A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基础环境运维工程师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</w:p>
        </w:tc>
      </w:tr>
      <w:tr w14:paraId="26F02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A5E2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第四阶段：设备安装与调试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CE7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设备运输与到货验收。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充电桩安装、电气接线。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网络与监控系统安装。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单机与系统联调。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6E8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2025.11.01 - 2026.01.31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4D5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设备签收单、安装记录、调试报告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E311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（主力）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（协调）</w:t>
            </w:r>
          </w:p>
        </w:tc>
      </w:tr>
      <w:tr w14:paraId="565B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A775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第五阶段：试运行与验收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38A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全系统≥30天连续试运行。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编制竣工资料、运维手册。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申请并配合竣工验收。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8F0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2026.02.01 - 2026.03.15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82C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试运行报告、竣工图、竣工验收报告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44A1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质量管理专员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（审计）</w:t>
            </w:r>
          </w:p>
        </w:tc>
      </w:tr>
      <w:tr w14:paraId="39C0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E4BB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第六阶段：移交与培训</w:t>
            </w:r>
          </w:p>
        </w:tc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8A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项目成果整体移交。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对甲方运营人员进行系统操作与维护培训。</w:t>
            </w: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148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2026.03.16 - 2026.03.31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331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资产移交清单、培训记录、项目总结报告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639D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运维实施工程师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（服务交接）</w:t>
            </w:r>
          </w:p>
        </w:tc>
      </w:tr>
    </w:tbl>
    <w:p w14:paraId="210B7780">
      <w:pPr>
        <w:pStyle w:val="26"/>
        <w:bidi w:val="0"/>
        <w:rPr>
          <w:rFonts w:hint="default"/>
          <w:lang w:val="en-US" w:eastAsia="zh-CN"/>
        </w:rPr>
      </w:pPr>
      <w:bookmarkStart w:id="7" w:name="_Toc22427"/>
      <w:r>
        <w:rPr>
          <w:rFonts w:hint="default"/>
          <w:lang w:val="en-US" w:eastAsia="zh-CN"/>
        </w:rPr>
        <w:t>关键技术标准与质量保障措施</w:t>
      </w:r>
      <w:bookmarkEnd w:id="7"/>
    </w:p>
    <w:p w14:paraId="3C25C1FE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设计标准：严格遵循国家《电动汽车充电站设计规范》（GB 50966）及电力、建筑相关最新规范。</w:t>
      </w:r>
    </w:p>
    <w:p w14:paraId="4402101F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设备标准：所供充电桩须具备国家权威机构出具的型式试验报告，符合国标GB/T 18487.1等系列标准。</w:t>
      </w:r>
    </w:p>
    <w:p w14:paraId="1E456B38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平台功能：充电运营管理平台必须具备远程实时监控、故障智能告警、充电数据统计、移动端运维管理等功能，并承诺与市级监管平台对接。</w:t>
      </w:r>
    </w:p>
    <w:p w14:paraId="7EAF38F9">
      <w:pPr>
        <w:pStyle w:val="27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质量保障：</w:t>
      </w:r>
    </w:p>
    <w:p w14:paraId="0AB9A5D2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流程遵循：项目全过程遵循公司既定的质量管理体系，关键节点邀请质量部参与评审。</w:t>
      </w:r>
    </w:p>
    <w:p w14:paraId="7ABE3C17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岗位自检：各岗位人员依据《岗位说明书》职责，严格执行“自检、互检、专检”。</w:t>
      </w:r>
    </w:p>
    <w:p w14:paraId="3604601D">
      <w:pPr>
        <w:pStyle w:val="27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文档管理：所有过程文档由运维项目经理统一归档，确保可追溯性。</w:t>
      </w:r>
    </w:p>
    <w:p w14:paraId="788D666E">
      <w:pPr>
        <w:pStyle w:val="26"/>
        <w:bidi w:val="0"/>
        <w:rPr>
          <w:rFonts w:hint="default"/>
          <w:lang w:val="en-US" w:eastAsia="zh-CN"/>
        </w:rPr>
      </w:pPr>
      <w:bookmarkStart w:id="8" w:name="_Toc30004"/>
      <w:r>
        <w:rPr>
          <w:rFonts w:hint="default"/>
          <w:lang w:val="en-US" w:eastAsia="zh-CN"/>
        </w:rPr>
        <w:t>沟通与协调机制</w:t>
      </w:r>
      <w:bookmarkEnd w:id="8"/>
    </w:p>
    <w:p w14:paraId="011159C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项目例会：运维项目经理主持召开周例会，项目核心成员参加。</w:t>
      </w:r>
    </w:p>
    <w:p w14:paraId="793FDCA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汇报机制：运维项目经理按月向运维部经理及副总经理提交书面项目月报。</w:t>
      </w:r>
    </w:p>
    <w:p w14:paraId="498C80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变更管理：任何范围、设计变更，须经运维项目经理评估后，书面报运维部经理审批后执行。</w:t>
      </w:r>
    </w:p>
    <w:p w14:paraId="423D349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应急联络：设立以运维项目经理为第一联系人的7×24小时应急通道。</w:t>
      </w:r>
    </w:p>
    <w:p w14:paraId="69834DDB">
      <w:pPr>
        <w:pStyle w:val="26"/>
        <w:bidi w:val="0"/>
        <w:rPr>
          <w:rFonts w:hint="default"/>
          <w:lang w:val="en-US" w:eastAsia="zh-CN"/>
        </w:rPr>
      </w:pPr>
      <w:bookmarkStart w:id="9" w:name="_Toc31998"/>
      <w:r>
        <w:rPr>
          <w:rFonts w:hint="default"/>
          <w:lang w:val="en-US" w:eastAsia="zh-CN"/>
        </w:rPr>
        <w:t>后期运维支持承诺（质保期）</w:t>
      </w:r>
      <w:bookmarkEnd w:id="9"/>
    </w:p>
    <w:p w14:paraId="075B7AD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自项目整体竣工验收合格之日起，我司承诺提供以下服务：</w:t>
      </w:r>
    </w:p>
    <w:p w14:paraId="21C0D3F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质保期：充电设备质保3年，土建及安装工程质保2年。</w:t>
      </w:r>
    </w:p>
    <w:p w14:paraId="4EDB6B9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服务接口：正式运维服务由公司服务台统一接收，并由运维部根据事件等级（参考岗位职责）分派软件运维工程师、安全检测工程师等处理。</w:t>
      </w:r>
    </w:p>
    <w:p w14:paraId="55EC876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响应时效：提供7×24小时服务热线，一般故障4小时内响应，重大故障12小时内抵达现场。</w:t>
      </w:r>
    </w:p>
    <w:p w14:paraId="50853D3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知识移交：项目所有技术文档、运维手册移交服务知识经理入库，作为公司知识资产。</w:t>
      </w:r>
    </w:p>
    <w:p w14:paraId="1AAFDD6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60D83DB"/>
    <w:multiLevelType w:val="singleLevel"/>
    <w:tmpl w:val="A60D83D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23EE88B0"/>
    <w:multiLevelType w:val="singleLevel"/>
    <w:tmpl w:val="23EE88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2144177"/>
    <w:rsid w:val="02F53218"/>
    <w:rsid w:val="03ED5F26"/>
    <w:rsid w:val="03FE7173"/>
    <w:rsid w:val="04C133B2"/>
    <w:rsid w:val="07B02B10"/>
    <w:rsid w:val="09862E1C"/>
    <w:rsid w:val="09FB69A5"/>
    <w:rsid w:val="0A5126DF"/>
    <w:rsid w:val="0AB35B63"/>
    <w:rsid w:val="0B2E5519"/>
    <w:rsid w:val="0BDE588B"/>
    <w:rsid w:val="0C3737A1"/>
    <w:rsid w:val="0C5B0590"/>
    <w:rsid w:val="0CAF61E6"/>
    <w:rsid w:val="0DA73361"/>
    <w:rsid w:val="104079A4"/>
    <w:rsid w:val="11561326"/>
    <w:rsid w:val="1721492C"/>
    <w:rsid w:val="188D7C5B"/>
    <w:rsid w:val="196B2580"/>
    <w:rsid w:val="1A70446A"/>
    <w:rsid w:val="1BBD74D6"/>
    <w:rsid w:val="1BC81262"/>
    <w:rsid w:val="1C625023"/>
    <w:rsid w:val="1CF55E97"/>
    <w:rsid w:val="1EF26B32"/>
    <w:rsid w:val="20484530"/>
    <w:rsid w:val="21DD7E45"/>
    <w:rsid w:val="22C34341"/>
    <w:rsid w:val="23E66539"/>
    <w:rsid w:val="246D6B15"/>
    <w:rsid w:val="270D0281"/>
    <w:rsid w:val="28B17A6C"/>
    <w:rsid w:val="2913307B"/>
    <w:rsid w:val="29DA6B40"/>
    <w:rsid w:val="2D7E3C87"/>
    <w:rsid w:val="2DD90EBD"/>
    <w:rsid w:val="2E953036"/>
    <w:rsid w:val="30E052E7"/>
    <w:rsid w:val="31815AF3"/>
    <w:rsid w:val="31872DB7"/>
    <w:rsid w:val="33AF4B9A"/>
    <w:rsid w:val="353115DE"/>
    <w:rsid w:val="37660B99"/>
    <w:rsid w:val="391536F1"/>
    <w:rsid w:val="39921DDC"/>
    <w:rsid w:val="39AA5818"/>
    <w:rsid w:val="3A2D6818"/>
    <w:rsid w:val="3B814871"/>
    <w:rsid w:val="3C19028A"/>
    <w:rsid w:val="3C371BD0"/>
    <w:rsid w:val="3C5A3D43"/>
    <w:rsid w:val="3E4E3201"/>
    <w:rsid w:val="3E854E75"/>
    <w:rsid w:val="3F870779"/>
    <w:rsid w:val="413C5988"/>
    <w:rsid w:val="421D66E1"/>
    <w:rsid w:val="428217D4"/>
    <w:rsid w:val="42C729C3"/>
    <w:rsid w:val="448B59E3"/>
    <w:rsid w:val="44FF0DB1"/>
    <w:rsid w:val="46207ACD"/>
    <w:rsid w:val="47B9793D"/>
    <w:rsid w:val="4B3A6FE7"/>
    <w:rsid w:val="4B49722A"/>
    <w:rsid w:val="4D5B476E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33914DA"/>
    <w:rsid w:val="63714E7E"/>
    <w:rsid w:val="65A17F37"/>
    <w:rsid w:val="68987CBD"/>
    <w:rsid w:val="693410C2"/>
    <w:rsid w:val="6C066D46"/>
    <w:rsid w:val="6D7A4FB0"/>
    <w:rsid w:val="6DF86AA4"/>
    <w:rsid w:val="70F133F4"/>
    <w:rsid w:val="74AA46FD"/>
    <w:rsid w:val="74CC21AE"/>
    <w:rsid w:val="776B5CAF"/>
    <w:rsid w:val="7BB5399C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1555</Words>
  <Characters>1717</Characters>
  <Lines>0</Lines>
  <Paragraphs>0</Paragraphs>
  <TotalTime>0</TotalTime>
  <ScaleCrop>false</ScaleCrop>
  <LinksUpToDate>false</LinksUpToDate>
  <CharactersWithSpaces>1842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2026-02-08T05:53:36Z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