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533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管理评审控制</w:t>
      </w:r>
      <w:bookmarkStart w:id="1" w:name="_GoBack"/>
      <w:bookmarkEnd w:id="1"/>
      <w:r>
        <w:t>程序</w:t>
      </w:r>
      <w:bookmarkEnd w:id="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_Toc22631"/>
      <w:r>
        <w:t>中达丰集团有限公司</w:t>
      </w:r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5" w:line="225" w:lineRule="auto"/>
        <w:ind w:left="2944"/>
        <w:textAlignment w:val="baseline"/>
        <w:rPr>
          <w:rFonts w:ascii="宋体" w:eastAsia="宋体" w:hAnsi="宋体" w:cs="宋体"/>
          <w:sz w:val="35"/>
          <w:szCs w:val="35"/>
        </w:rPr>
      </w:pPr>
      <w:r>
        <w:rPr>
          <w:rFonts w:ascii="宋体" w:eastAsia="宋体" w:hAnsi="宋体" w:cs="宋体"/>
          <w:spacing w:val="-10"/>
          <w:sz w:val="35"/>
          <w:szCs w:val="35"/>
        </w:rPr>
        <w:t>2025年7月4日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5" w:lineRule="auto"/>
        <w:textAlignment w:val="baseline"/>
        <w:rPr>
          <w:rFonts w:ascii="宋体" w:eastAsia="宋体" w:hAnsi="宋体" w:cs="宋体"/>
          <w:sz w:val="35"/>
          <w:szCs w:val="35"/>
        </w:rPr>
        <w:sectPr>
          <w:pgSz w:w="11906" w:h="16840"/>
          <w:pgMar w:top="1431" w:right="1785" w:bottom="0" w:left="1785" w:header="0" w:footer="0" w:gutter="0"/>
          <w:cols w:num="1" w:space="720"/>
        </w:sectPr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78" w:lineRule="auto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822"/>
        <w:textAlignment w:val="baseline"/>
        <w:outlineLvl w:val="1"/>
        <w:rPr>
          <w:rFonts w:ascii="宋体" w:eastAsia="宋体" w:hAnsi="宋体" w:cs="宋体"/>
          <w:sz w:val="28"/>
          <w:szCs w:val="28"/>
        </w:rPr>
      </w:pPr>
      <w:bookmarkStart w:id="3" w:name="_Toc29502"/>
      <w:r>
        <w:rPr>
          <w:rFonts w:ascii="宋体" w:eastAsia="宋体" w:hAnsi="宋体" w:cs="宋体"/>
          <w:spacing w:val="-5"/>
          <w:sz w:val="28"/>
          <w:szCs w:val="28"/>
        </w:rPr>
        <w:t>文档信息</w:t>
      </w:r>
      <w:bookmarkEnd w:id="3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14" w:lineRule="exact"/>
        <w:textAlignment w:val="baseline"/>
      </w:pPr>
    </w:p>
    <w:tbl>
      <w:tblPr>
        <w:tblStyle w:val="TableNormal0"/>
        <w:tblW w:w="9154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68"/>
        <w:gridCol w:w="1696"/>
        <w:gridCol w:w="2340"/>
        <w:gridCol w:w="1982"/>
        <w:gridCol w:w="1568"/>
      </w:tblGrid>
      <w:tr>
        <w:tblPrEx>
          <w:tblW w:w="9154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0"/>
        </w:trPr>
        <w:tc>
          <w:tcPr>
            <w:tcW w:w="156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313" w:lineRule="auto"/>
              <w:ind w:left="135" w:right="256" w:hanging="6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文档名称编</w:t>
            </w:r>
            <w:r>
              <w:rPr>
                <w:rFonts w:ascii="宋体" w:eastAsia="宋体" w:hAnsi="宋体" w:cs="宋体"/>
                <w:sz w:val="24"/>
                <w:szCs w:val="24"/>
              </w:rPr>
              <w:t>号</w:t>
            </w:r>
          </w:p>
        </w:tc>
        <w:tc>
          <w:tcPr>
            <w:tcW w:w="7586" w:type="dxa"/>
            <w:gridSpan w:val="4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11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3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管理评审控制程序（ZDFJT-ITSS-GLPSKZCX）</w:t>
            </w:r>
          </w:p>
        </w:tc>
      </w:tr>
      <w:tr>
        <w:tblPrEx>
          <w:tblW w:w="915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/>
        </w:trPr>
        <w:tc>
          <w:tcPr>
            <w:tcW w:w="156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9" w:lineRule="auto"/>
              <w:ind w:left="12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编制单位</w:t>
            </w:r>
          </w:p>
        </w:tc>
        <w:tc>
          <w:tcPr>
            <w:tcW w:w="7586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19" w:lineRule="auto"/>
              <w:ind w:left="11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中达丰集团有限公司</w:t>
            </w:r>
          </w:p>
        </w:tc>
      </w:tr>
      <w:tr>
        <w:tblPrEx>
          <w:tblW w:w="915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56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19" w:lineRule="auto"/>
              <w:ind w:left="12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文档密级</w:t>
            </w:r>
          </w:p>
        </w:tc>
        <w:tc>
          <w:tcPr>
            <w:tcW w:w="7586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19" w:lineRule="auto"/>
              <w:ind w:left="116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秘密</w:t>
            </w:r>
          </w:p>
        </w:tc>
      </w:tr>
      <w:tr>
        <w:tblPrEx>
          <w:tblW w:w="915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56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1" w:line="219" w:lineRule="auto"/>
              <w:ind w:left="32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文档版本</w:t>
            </w:r>
          </w:p>
        </w:tc>
        <w:tc>
          <w:tcPr>
            <w:tcW w:w="169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1" w:line="219" w:lineRule="auto"/>
              <w:ind w:left="38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版本日期</w:t>
            </w:r>
          </w:p>
        </w:tc>
        <w:tc>
          <w:tcPr>
            <w:tcW w:w="23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1" w:line="219" w:lineRule="auto"/>
              <w:ind w:left="706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版本说明</w:t>
            </w:r>
          </w:p>
        </w:tc>
        <w:tc>
          <w:tcPr>
            <w:tcW w:w="198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77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作者</w:t>
            </w:r>
          </w:p>
        </w:tc>
        <w:tc>
          <w:tcPr>
            <w:tcW w:w="156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586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审核</w:t>
            </w:r>
          </w:p>
        </w:tc>
      </w:tr>
      <w:tr>
        <w:tblPrEx>
          <w:tblW w:w="915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3"/>
        </w:trPr>
        <w:tc>
          <w:tcPr>
            <w:tcW w:w="156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68" w:lineRule="exact"/>
              <w:ind w:left="575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69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69" w:lineRule="exact"/>
              <w:ind w:left="442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"/>
                <w:position w:val="1"/>
                <w:sz w:val="20"/>
                <w:szCs w:val="20"/>
              </w:rPr>
              <w:t>2025-7-4</w:t>
            </w:r>
          </w:p>
        </w:tc>
        <w:tc>
          <w:tcPr>
            <w:tcW w:w="23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7" w:lineRule="auto"/>
              <w:ind w:left="770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发布版本</w:t>
            </w:r>
          </w:p>
        </w:tc>
        <w:tc>
          <w:tcPr>
            <w:tcW w:w="198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8" w:lineRule="auto"/>
              <w:ind w:left="696"/>
              <w:textAlignment w:val="baseline"/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  <w:t>李平</w:t>
            </w:r>
          </w:p>
        </w:tc>
        <w:tc>
          <w:tcPr>
            <w:tcW w:w="156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8" w:lineRule="auto"/>
              <w:ind w:left="504"/>
              <w:textAlignment w:val="baseline"/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  <w:t>吴向阳</w:t>
            </w:r>
          </w:p>
        </w:tc>
      </w:tr>
      <w:tr>
        <w:tblPrEx>
          <w:tblW w:w="915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2"/>
        </w:trPr>
        <w:tc>
          <w:tcPr>
            <w:tcW w:w="156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15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3"/>
        </w:trPr>
        <w:tc>
          <w:tcPr>
            <w:tcW w:w="156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15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3"/>
        </w:trPr>
        <w:tc>
          <w:tcPr>
            <w:tcW w:w="156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15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/>
        </w:trPr>
        <w:tc>
          <w:tcPr>
            <w:tcW w:w="156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40"/>
          <w:pgMar w:top="1431" w:right="1151" w:bottom="0" w:left="1595" w:header="0" w:footer="0" w:gutter="0"/>
          <w:cols w:num="1" w:space="720"/>
        </w:sectPr>
      </w:pP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1319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 w:val="24"/>
              <w:szCs w:val="24"/>
            </w:rPr>
            <w:instrText xml:space="preserve">TOC \o "1-3" \h \u </w:instrText>
          </w:r>
          <w:r>
            <w:rPr>
              <w:rFonts w:ascii="Times New Roman" w:eastAsia="Times New Roman" w:hAnsi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_Toc25335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t>管理评审控制程序</w:t>
          </w:r>
          <w:r>
            <w:tab/>
          </w:r>
          <w:r>
            <w:fldChar w:fldCharType="begin"/>
          </w:r>
          <w:r>
            <w:instrText xml:space="preserve"> PAGEREF _Toc25335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_Toc22631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_Toc22631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_Toc29502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rPr>
              <w:rFonts w:ascii="宋体" w:eastAsia="宋体" w:hAnsi="宋体" w:cs="宋体"/>
              <w:spacing w:val="-5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_Toc29502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_Toc22075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_Toc22075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_Toc25579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_Toc25579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_Toc25426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_Toc25426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_Toc18024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管理评审流程</w:t>
          </w:r>
          <w:r>
            <w:tab/>
          </w:r>
          <w:r>
            <w:fldChar w:fldCharType="begin"/>
          </w:r>
          <w:r>
            <w:instrText xml:space="preserve"> PAGEREF _Toc18024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_Toc10548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管理评审时间</w:t>
          </w:r>
          <w:r>
            <w:tab/>
          </w:r>
          <w:r>
            <w:fldChar w:fldCharType="begin"/>
          </w:r>
          <w:r>
            <w:instrText xml:space="preserve"> PAGEREF _Toc10548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_Toc3286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管理评审的频次</w:t>
          </w:r>
          <w:r>
            <w:tab/>
          </w:r>
          <w:r>
            <w:fldChar w:fldCharType="begin"/>
          </w:r>
          <w:r>
            <w:instrText xml:space="preserve"> PAGEREF _Toc3286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_Toc27984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管理评审流程的解释</w:t>
          </w:r>
          <w:r>
            <w:tab/>
          </w:r>
          <w:r>
            <w:fldChar w:fldCharType="begin"/>
          </w:r>
          <w:r>
            <w:instrText xml:space="preserve"> PAGEREF _Toc27984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_Toc23408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4.3.1. </w:t>
          </w:r>
          <w:r>
            <w:t>管理评审准备</w:t>
          </w:r>
          <w:r>
            <w:tab/>
          </w:r>
          <w:r>
            <w:fldChar w:fldCharType="begin"/>
          </w:r>
          <w:r>
            <w:instrText xml:space="preserve"> PAGEREF _Toc23408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_Toc3416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4.3.2. </w:t>
          </w:r>
          <w:r>
            <w:t>召开管理评审会议</w:t>
          </w:r>
          <w:r>
            <w:tab/>
          </w:r>
          <w:r>
            <w:fldChar w:fldCharType="begin"/>
          </w:r>
          <w:r>
            <w:instrText xml:space="preserve"> PAGEREF _Toc3416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_Toc16894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4.3.3. </w:t>
          </w:r>
          <w:r>
            <w:t>编写管理评审报告</w:t>
          </w:r>
          <w:r>
            <w:tab/>
          </w:r>
          <w:r>
            <w:fldChar w:fldCharType="begin"/>
          </w:r>
          <w:r>
            <w:instrText xml:space="preserve"> PAGEREF _Toc16894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_Toc18274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4.3.4. </w:t>
          </w:r>
          <w:r>
            <w:t>改进措施的实施</w:t>
          </w:r>
          <w:r>
            <w:tab/>
          </w:r>
          <w:r>
            <w:fldChar w:fldCharType="begin"/>
          </w:r>
          <w:r>
            <w:instrText xml:space="preserve"> PAGEREF _Toc18274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_Toc1507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4.3.5. </w:t>
          </w:r>
          <w:r>
            <w:t>改进措施的跟踪验证</w:t>
          </w:r>
          <w:r>
            <w:tab/>
          </w:r>
          <w:r>
            <w:fldChar w:fldCharType="begin"/>
          </w:r>
          <w:r>
            <w:instrText xml:space="preserve"> PAGEREF _Toc1507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_Toc29769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流程衡量指标</w:t>
          </w:r>
          <w:r>
            <w:tab/>
          </w:r>
          <w:r>
            <w:fldChar w:fldCharType="begin"/>
          </w:r>
          <w:r>
            <w:instrText xml:space="preserve"> PAGEREF _Toc29769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486"/>
            </w:tabs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begin"/>
          </w:r>
          <w:r>
            <w:rPr>
              <w:rFonts w:ascii="Times New Roman" w:eastAsia="Times New Roman" w:hAnsi="Times New Roman" w:cs="Times New Roman"/>
              <w:szCs w:val="24"/>
            </w:rPr>
            <w:instrText xml:space="preserve"> HYPERLINK \l _Toc10631 </w:instrText>
          </w:r>
          <w:r>
            <w:rPr>
              <w:rFonts w:ascii="Times New Roman" w:eastAsia="Times New Roman" w:hAnsi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相关文件及模板</w:t>
          </w:r>
          <w:r>
            <w:tab/>
          </w:r>
          <w:r>
            <w:fldChar w:fldCharType="begin"/>
          </w:r>
          <w:r>
            <w:instrText xml:space="preserve"> PAGEREF _Toc10631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ascii="Times New Roman" w:eastAsia="Times New Roman" w:hAnsi="Times New Roman" w:cs="Times New Roman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Times New Roman" w:eastAsia="Times New Roman" w:hAnsi="Times New Roman" w:cs="Times New Roman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Times New Roman" w:eastAsia="Times New Roman" w:hAnsi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40"/>
          <w:pgMar w:top="1431" w:right="1713" w:bottom="0" w:left="1707" w:header="0" w:footer="0" w:gutter="0"/>
          <w:cols w:num="1" w:space="720"/>
        </w:sect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22075"/>
      <w:r>
        <w:t>目的</w:t>
      </w:r>
      <w:bookmarkEnd w:id="4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管理层按策划的时间间隔定期对公司质量监督体系进行系统评价，提出并</w:t>
      </w:r>
      <w:r>
        <w:rPr>
          <w:rFonts w:ascii="宋体" w:eastAsia="宋体" w:hAnsi="宋体" w:cs="宋体"/>
          <w:spacing w:val="-1"/>
          <w:sz w:val="24"/>
          <w:szCs w:val="24"/>
        </w:rPr>
        <w:t>确定各种改进的机会和变更需要，确保质量监督体系持续的适宜性、充分性和</w:t>
      </w:r>
      <w:r>
        <w:rPr>
          <w:rFonts w:ascii="宋体" w:eastAsia="宋体" w:hAnsi="宋体" w:cs="宋体"/>
          <w:spacing w:val="-8"/>
          <w:sz w:val="24"/>
          <w:szCs w:val="24"/>
        </w:rPr>
        <w:t>有效性。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25579"/>
      <w:r>
        <w:t>适用范围</w:t>
      </w:r>
      <w:bookmarkEnd w:id="5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适用于公司运维体系所覆盖的所有部门。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25426"/>
      <w:r>
        <w:t>角色与职责</w:t>
      </w:r>
      <w:bookmarkEnd w:id="6"/>
    </w:p>
    <w:tbl>
      <w:tblPr>
        <w:tblStyle w:val="TableNormal0"/>
        <w:tblW w:w="9187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6"/>
        <w:gridCol w:w="7201"/>
      </w:tblGrid>
      <w:tr>
        <w:tblPrEx>
          <w:tblW w:w="9187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/>
        </w:trPr>
        <w:tc>
          <w:tcPr>
            <w:tcW w:w="1986" w:type="dxa"/>
            <w:shd w:val="clear" w:color="auto" w:fill="C0C0C0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19" w:lineRule="auto"/>
              <w:ind w:left="77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0"/>
                <w:sz w:val="24"/>
                <w:szCs w:val="24"/>
              </w:rPr>
              <w:t>角色</w:t>
            </w:r>
          </w:p>
        </w:tc>
        <w:tc>
          <w:tcPr>
            <w:tcW w:w="7201" w:type="dxa"/>
            <w:shd w:val="clear" w:color="auto" w:fill="C0C0C0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1" w:lineRule="auto"/>
              <w:ind w:left="313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主要职责</w:t>
            </w:r>
          </w:p>
        </w:tc>
      </w:tr>
      <w:tr>
        <w:tblPrEx>
          <w:tblW w:w="918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4"/>
        </w:trPr>
        <w:tc>
          <w:tcPr>
            <w:tcW w:w="198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5" w:lineRule="auto"/>
              <w:textAlignment w:val="baseline"/>
            </w:pPr>
          </w:p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5" w:lineRule="auto"/>
              <w:textAlignment w:val="baseline"/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52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质量部</w:t>
            </w:r>
          </w:p>
        </w:tc>
        <w:tc>
          <w:tcPr>
            <w:tcW w:w="720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2" w:line="219" w:lineRule="auto"/>
              <w:ind w:left="12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受公司最高管理者委托，由质量部负责实现管理评审活动；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19" w:lineRule="auto"/>
              <w:ind w:left="13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负责对本程序文件的意见收集、改进和更新、培训及解释工作；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4" w:line="229" w:lineRule="auto"/>
              <w:ind w:left="115" w:right="147" w:firstLine="15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负责管理评审的准备、记录工作，并负责对管理评审改进措施的跟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踪和验证。</w:t>
            </w:r>
          </w:p>
        </w:tc>
      </w:tr>
      <w:tr>
        <w:tblPrEx>
          <w:tblW w:w="918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/>
        </w:trPr>
        <w:tc>
          <w:tcPr>
            <w:tcW w:w="198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0" w:lineRule="auto"/>
              <w:ind w:left="325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质量部经理</w:t>
            </w:r>
          </w:p>
        </w:tc>
        <w:tc>
          <w:tcPr>
            <w:tcW w:w="720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18" w:lineRule="auto"/>
              <w:ind w:left="13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负责管理评审的组织和协调，并报告公司整体运营情况。</w:t>
            </w:r>
          </w:p>
        </w:tc>
      </w:tr>
      <w:tr>
        <w:tblPrEx>
          <w:tblW w:w="918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2"/>
        </w:trPr>
        <w:tc>
          <w:tcPr>
            <w:tcW w:w="198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2" w:line="219" w:lineRule="auto"/>
              <w:ind w:left="64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各部门</w:t>
            </w:r>
          </w:p>
        </w:tc>
        <w:tc>
          <w:tcPr>
            <w:tcW w:w="720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19" w:lineRule="auto"/>
              <w:ind w:left="133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负责提供管理评审输入资料和评审后的改进措施的实施。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18024"/>
      <w:r>
        <w:t>管理评审流程</w:t>
      </w:r>
      <w:bookmarkEnd w:id="7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bookmark16"/>
      <w:bookmarkEnd w:id="8"/>
      <w:bookmarkStart w:id="9" w:name="_Toc10548"/>
      <w:r>
        <w:t>管理评审时间</w:t>
      </w:r>
      <w:bookmarkEnd w:id="9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管理评审时间一般会在内审结束后一周左右进行。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bookmark17"/>
      <w:bookmarkEnd w:id="10"/>
      <w:bookmarkStart w:id="11" w:name="_Toc3286"/>
      <w:r>
        <w:t>管理评审的频次</w:t>
      </w:r>
      <w:bookmarkEnd w:id="1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管理评审每年进行一次，两次评审间隔不超过12个月。当遇到下列情况时，总经理确定增加评审次数：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组织机构发生重大变化时；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发生重大质量事故时；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市场需求发生重大变化时；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12395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12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当国家政策或法律、法规发生重大变化时，影响到公司经营方针或目标有重大改变时；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公司最高管理者认为有必要时。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27984"/>
      <w:r>
        <w:t>管理评审流程的解释</w:t>
      </w:r>
      <w:bookmarkEnd w:id="12"/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09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09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09" w:lineRule="auto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44" w:lineRule="auto"/>
        <w:ind w:left="3864" w:right="3282" w:hanging="222"/>
        <w:textAlignment w:val="baseline"/>
        <w:rPr>
          <w:rFonts w:ascii="宋体" w:eastAsia="宋体" w:hAnsi="宋体" w:cs="宋体"/>
          <w:sz w:val="24"/>
          <w:szCs w:val="24"/>
        </w:rPr>
      </w:pPr>
      <w:r>
        <w:drawing>
          <wp:anchor distT="0" distB="0" distL="0" distR="0" simplePos="0" relativeHeight="251658240" behindDoc="1" locked="0" layoutInCell="1" allowOverlap="1">
            <wp:simplePos x="0" y="0"/>
            <wp:positionH relativeFrom="column">
              <wp:posOffset>1954530</wp:posOffset>
            </wp:positionH>
            <wp:positionV relativeFrom="paragraph">
              <wp:posOffset>-128905</wp:posOffset>
            </wp:positionV>
            <wp:extent cx="1828800" cy="4631690"/>
            <wp:effectExtent l="0" t="0" r="0" b="0"/>
            <wp:wrapNone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6316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eastAsia="宋体" w:hAnsi="宋体" w:cs="宋体"/>
          <w:spacing w:val="-6"/>
          <w:sz w:val="24"/>
          <w:szCs w:val="24"/>
        </w:rPr>
        <w:t>下达召开管理</w:t>
      </w:r>
      <w:r>
        <w:rPr>
          <w:rFonts w:ascii="宋体" w:eastAsia="宋体" w:hAnsi="宋体" w:cs="宋体"/>
          <w:spacing w:val="-4"/>
          <w:sz w:val="24"/>
          <w:szCs w:val="24"/>
        </w:rPr>
        <w:t>评审通知</w:t>
      </w: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1" w:lineRule="auto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602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制定管理评审计划</w:t>
      </w: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4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5" w:lineRule="auto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19" w:lineRule="auto"/>
        <w:ind w:left="3783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评审输入准备</w:t>
      </w: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6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6" w:lineRule="auto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444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评审输入整理、发放</w:t>
      </w: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2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2" w:lineRule="auto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913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6"/>
          <w:sz w:val="24"/>
          <w:szCs w:val="24"/>
        </w:rPr>
        <w:t>召开评审会</w:t>
      </w: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77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78" w:lineRule="auto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18" w:lineRule="auto"/>
        <w:ind w:left="3838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编写评审报告</w:t>
      </w: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96" w:lineRule="auto"/>
        <w:textAlignment w:val="baseline"/>
      </w:pP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97" w:lineRule="auto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785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5"/>
          <w:sz w:val="24"/>
          <w:szCs w:val="24"/>
        </w:rPr>
        <w:t>改进措施的实施</w:t>
      </w: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419" w:lineRule="auto"/>
        <w:textAlignment w:val="baseline"/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2124075</wp:posOffset>
            </wp:positionH>
            <wp:positionV relativeFrom="paragraph">
              <wp:posOffset>227330</wp:posOffset>
            </wp:positionV>
            <wp:extent cx="1517015" cy="9525"/>
            <wp:effectExtent l="0" t="0" r="0" b="0"/>
            <wp:wrapNone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701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454"/>
        <w:textAlignment w:val="baseline"/>
        <w:rPr>
          <w:rFonts w:ascii="宋体" w:eastAsia="宋体" w:hAnsi="宋体" w:cs="宋体"/>
          <w:sz w:val="24"/>
          <w:szCs w:val="24"/>
        </w:rPr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column">
              <wp:posOffset>2124075</wp:posOffset>
            </wp:positionH>
            <wp:positionV relativeFrom="paragraph">
              <wp:posOffset>255905</wp:posOffset>
            </wp:positionV>
            <wp:extent cx="1517015" cy="9525"/>
            <wp:effectExtent l="0" t="0" r="0" b="0"/>
            <wp:wrapNone/>
            <wp:docPr id="18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 18"/>
                    <pic:cNvPicPr/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7015" cy="95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eastAsia="宋体" w:hAnsi="宋体" w:cs="宋体"/>
          <w:spacing w:val="-4"/>
          <w:sz w:val="24"/>
          <w:szCs w:val="24"/>
        </w:rPr>
        <w:t>改进措施的跟踪验证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7" w:line="337" w:lineRule="exact"/>
        <w:ind w:left="3004"/>
        <w:textAlignment w:val="baseline"/>
        <w:rPr>
          <w:rFonts w:ascii="黑体" w:eastAsia="黑体" w:hAnsi="黑体" w:cs="黑体"/>
          <w:sz w:val="24"/>
          <w:szCs w:val="24"/>
        </w:rPr>
      </w:pPr>
      <w:r>
        <w:rPr>
          <w:rFonts w:ascii="黑体" w:eastAsia="黑体" w:hAnsi="黑体" w:cs="黑体"/>
          <w:b/>
          <w:bCs/>
          <w:spacing w:val="-9"/>
          <w:position w:val="1"/>
          <w:sz w:val="24"/>
          <w:szCs w:val="24"/>
        </w:rPr>
        <w:t>图</w:t>
      </w:r>
      <w:r>
        <w:rPr>
          <w:rFonts w:ascii="黑体" w:eastAsia="黑体" w:hAnsi="黑体" w:cs="黑体"/>
          <w:spacing w:val="-54"/>
          <w:position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bCs/>
          <w:spacing w:val="-9"/>
          <w:position w:val="1"/>
          <w:sz w:val="24"/>
          <w:szCs w:val="24"/>
        </w:rPr>
        <w:t>4-1</w:t>
      </w:r>
      <w:r>
        <w:rPr>
          <w:rFonts w:ascii="Calibri" w:eastAsia="Calibri" w:hAnsi="Calibri" w:cs="Calibri"/>
          <w:b/>
          <w:bCs/>
          <w:spacing w:val="13"/>
          <w:position w:val="1"/>
          <w:sz w:val="24"/>
          <w:szCs w:val="24"/>
        </w:rPr>
        <w:t xml:space="preserve">  </w:t>
      </w:r>
      <w:r>
        <w:rPr>
          <w:rFonts w:ascii="黑体" w:eastAsia="黑体" w:hAnsi="黑体" w:cs="黑体"/>
          <w:b/>
          <w:bCs/>
          <w:spacing w:val="-9"/>
          <w:position w:val="1"/>
          <w:sz w:val="24"/>
          <w:szCs w:val="24"/>
        </w:rPr>
        <w:t>管理评审流程图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23408"/>
      <w:r>
        <w:t>管理评审准备</w:t>
      </w:r>
      <w:bookmarkEnd w:id="13"/>
    </w:p>
    <w:p>
      <w:pPr>
        <w:pStyle w:val="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下达召开管理评审通知</w:t>
      </w: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0" w:lineRule="auto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管理者代表通知质量部召开管理评审的时间和内容，明确管理评审内容的责任部门和责任人。</w:t>
      </w:r>
    </w:p>
    <w:p>
      <w:pPr>
        <w:pStyle w:val="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 xml:space="preserve"> 制定管理评审计划</w:t>
      </w:r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1" w:lineRule="auto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质量部负责编制计划，计划中确定管理评审时间、地点、参加人员及各部门需要提交给质量部的管理评审的输入信息。该计划于评审前发放到各部门，要求各部门准备相关资料。管理评审的输入一般包括：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20" name="IM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 20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审核结果（内、外部）；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20650"/>
            <wp:effectExtent l="0" t="0" r="0" b="0"/>
            <wp:docPr id="22" name="IM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 22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20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客户反馈，包括客户满意和不满意程度的测量结果、客户投诉等；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12395"/>
            <wp:effectExtent l="0" t="0" r="0" b="0"/>
            <wp:docPr id="24" name="IM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 24"/>
                    <pic:cNvPicPr/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12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质量部定期或不定期对各部门进行巡检的结果。检查方法：抽查；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26" name="IM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 26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预防和纠正措施的实施情况；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28" name="IM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 28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 以往管理评审所确定的措施的实施情况及有效性；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30" name="IM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 30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可能影响质量监督运维能力体系的变更，如内外部环境、组织机构变化；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12395"/>
            <wp:effectExtent l="0" t="0" r="0" b="0"/>
            <wp:docPr id="32" name="IM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 32"/>
                    <pic:cNvPicPr/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12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 由于各种原因而引起有关组织的产品、过程和体系改进的建议。</w:t>
      </w:r>
    </w:p>
    <w:p>
      <w:pPr>
        <w:pStyle w:val="4"/>
        <w:bidi w:val="0"/>
      </w:pPr>
      <w:r>
        <w:t>评审输入的整理和发放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在管理评审会议召开2天前，各部门将应该提交的资料提交到质量部，质量部根据各部门提交的资料进行整理，形成管理评审计划的初稿，至少在会议召开的前一天发给参会人员。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bookmark1"/>
      <w:bookmarkEnd w:id="14"/>
      <w:bookmarkStart w:id="15" w:name="_Toc3416"/>
      <w:r>
        <w:t>召开管理评审会议</w:t>
      </w:r>
      <w:bookmarkEnd w:id="15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由管理者代表主持召开管理评审会议，对管理评审输入资料内容进行评审，参加会议人员进行充分评价后，做出评审结论（必要时由总经理确定，辅以现场审查），质量部负责会议评审的记录和保存。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16894"/>
      <w:r>
        <w:t>编写管理评审报告</w:t>
      </w:r>
      <w:bookmarkEnd w:id="16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质量部根据会议记录的内容编写《管理评审报告》。《管理评审报告》整理完成后报总经理审批。管理评审报告的内容（输出）一般包括：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34" name="IM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 34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会议时间、地点、参加人员；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36" name="IM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 36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发放范围；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08585"/>
            <wp:effectExtent l="0" t="0" r="0" b="0"/>
            <wp:docPr id="38" name="IM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 38"/>
                    <pic:cNvPicPr/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0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评审内容；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drawing>
          <wp:inline distT="0" distB="0" distL="0" distR="0">
            <wp:extent cx="97155" cy="112395"/>
            <wp:effectExtent l="0" t="0" r="0" b="0"/>
            <wp:docPr id="40" name="IM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 40"/>
                    <pic:cNvPicPr/>
                  </pic:nvPicPr>
                  <pic:blipFill>
                    <a:blip xmlns:r="http://schemas.openxmlformats.org/officeDocument/2006/relationships"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7383" cy="11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spacing w:val="1"/>
          <w:sz w:val="24"/>
          <w:szCs w:val="24"/>
        </w:rPr>
        <w:t xml:space="preserve">  评审结论：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A   质量监督运维能力体系持续的适宜性、充分性和有效性及公司方针、目标实现情况的评价。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B   质量监督运维能力体系及其过程有效性的改进方面的决定和措施（如对质量运维能力体系方针和目标、组织结构与职责权限、质量</w:t>
      </w:r>
      <w:r>
        <w:rPr>
          <w:rFonts w:ascii="宋体" w:eastAsia="宋体" w:hAnsi="宋体" w:cs="宋体" w:hint="eastAsia"/>
          <w:spacing w:val="1"/>
          <w:sz w:val="24"/>
          <w:szCs w:val="24"/>
          <w:lang w:val="en-US" w:eastAsia="zh-CN"/>
        </w:rPr>
        <w:t>运</w:t>
      </w:r>
      <w:r>
        <w:rPr>
          <w:rFonts w:ascii="宋体" w:eastAsia="宋体" w:hAnsi="宋体" w:cs="宋体"/>
          <w:spacing w:val="1"/>
          <w:sz w:val="24"/>
          <w:szCs w:val="24"/>
        </w:rPr>
        <w:t>维能力体系文件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及具体实现过程的改进。）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 xml:space="preserve">C  </w:t>
      </w:r>
      <w:r>
        <w:rPr>
          <w:rFonts w:ascii="宋体" w:eastAsia="宋体" w:hAnsi="宋体" w:cs="宋体" w:hint="eastAsia"/>
          <w:spacing w:val="1"/>
          <w:sz w:val="24"/>
          <w:szCs w:val="24"/>
          <w:lang w:val="en-US" w:eastAsia="zh-CN"/>
        </w:rPr>
        <w:t xml:space="preserve"> </w:t>
      </w:r>
      <w:r>
        <w:rPr>
          <w:rFonts w:ascii="宋体" w:eastAsia="宋体" w:hAnsi="宋体" w:cs="宋体"/>
          <w:spacing w:val="1"/>
          <w:sz w:val="24"/>
          <w:szCs w:val="24"/>
        </w:rPr>
        <w:t>与客户要求有关的产品的改进方面的决定和措施。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84" w:hanging="420" w:hanging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 xml:space="preserve">D  </w:t>
      </w:r>
      <w:r>
        <w:rPr>
          <w:rFonts w:ascii="宋体" w:eastAsia="宋体" w:hAnsi="宋体" w:cs="宋体" w:hint="eastAsia"/>
          <w:spacing w:val="1"/>
          <w:sz w:val="24"/>
          <w:szCs w:val="24"/>
          <w:lang w:val="en-US" w:eastAsia="zh-CN"/>
        </w:rPr>
        <w:t xml:space="preserve"> </w:t>
      </w:r>
      <w:r>
        <w:rPr>
          <w:rFonts w:ascii="宋体" w:eastAsia="宋体" w:hAnsi="宋体" w:cs="宋体"/>
          <w:spacing w:val="1"/>
          <w:sz w:val="24"/>
          <w:szCs w:val="24"/>
        </w:rPr>
        <w:t>与有关资源需求的改进方面的决定和措施。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18274"/>
      <w:r>
        <w:t>改进措施的实施</w:t>
      </w:r>
      <w:bookmarkEnd w:id="17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各部门根据管理评审报告中提出的改进决定和措施，由相关部门制定改进措施并列入下一工作周期的改进计划。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bookmark18"/>
      <w:bookmarkEnd w:id="18"/>
      <w:bookmarkStart w:id="19" w:name="_Toc1507"/>
      <w:r>
        <w:t>改进措施的跟踪验证</w:t>
      </w:r>
      <w:bookmarkEnd w:id="19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ascii="宋体" w:eastAsia="宋体" w:hAnsi="宋体" w:cs="宋体"/>
          <w:spacing w:val="1"/>
          <w:sz w:val="24"/>
          <w:szCs w:val="24"/>
        </w:rPr>
      </w:pPr>
      <w:r>
        <w:rPr>
          <w:rFonts w:ascii="宋体" w:eastAsia="宋体" w:hAnsi="宋体" w:cs="宋体"/>
          <w:spacing w:val="1"/>
          <w:sz w:val="24"/>
          <w:szCs w:val="24"/>
        </w:rPr>
        <w:t>质量部跟踪验证改进部门的实施效果，验证不合格的需重新制定纠正措施并实施，继续跟踪验证直至合格，并报告给管理者代表。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29769"/>
      <w:r>
        <w:t>流程衡量指标</w:t>
      </w:r>
      <w:bookmarkEnd w:id="20"/>
    </w:p>
    <w:tbl>
      <w:tblPr>
        <w:tblStyle w:val="TableNormal0"/>
        <w:tblW w:w="8311" w:type="dxa"/>
        <w:tblInd w:w="13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1337"/>
        <w:gridCol w:w="3545"/>
        <w:gridCol w:w="1351"/>
        <w:gridCol w:w="1351"/>
      </w:tblGrid>
      <w:tr>
        <w:tblPrEx>
          <w:tblW w:w="8311" w:type="dxa"/>
          <w:tblInd w:w="130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/>
        </w:trPr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C0C0C0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337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C0C0C0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354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35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eastAsia="宋体" w:hAnsi="宋体" w:cs="宋体" w:hint="default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35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eastAsia="宋体" w:hAnsi="宋体" w:cs="宋体" w:hint="default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cs="宋体"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>
        <w:tblPrEx>
          <w:tblW w:w="8311" w:type="dxa"/>
          <w:tblInd w:w="13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/>
        </w:trPr>
        <w:tc>
          <w:tcPr>
            <w:tcW w:w="727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337" w:type="dxa"/>
            <w:tcBorders>
              <w:top w:val="single" w:sz="6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  <w:t>次数</w:t>
            </w:r>
          </w:p>
        </w:tc>
        <w:tc>
          <w:tcPr>
            <w:tcW w:w="3545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ascii="宋体" w:eastAsia="宋体" w:hAnsi="宋体" w:cs="宋体" w:hint="default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  <w:t>数量：管理评审的次数</w:t>
            </w:r>
          </w:p>
        </w:tc>
        <w:tc>
          <w:tcPr>
            <w:tcW w:w="1351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  <w:t>按年</w:t>
            </w:r>
          </w:p>
        </w:tc>
        <w:tc>
          <w:tcPr>
            <w:tcW w:w="1351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ascii="宋体" w:eastAsia="宋体" w:hAnsi="宋体" w:cs="宋体" w:hint="default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cs="宋体" w:hint="eastAsia"/>
                <w:spacing w:val="-2"/>
                <w:sz w:val="24"/>
                <w:szCs w:val="24"/>
                <w:lang w:val="en-US" w:eastAsia="zh-CN"/>
              </w:rPr>
              <w:t>≥1次</w:t>
            </w:r>
          </w:p>
        </w:tc>
      </w:tr>
    </w:tbl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92" w:lineRule="auto"/>
        <w:textAlignment w:val="baseline"/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10631"/>
      <w:r>
        <w:t>相关文件及模板</w:t>
      </w:r>
      <w:bookmarkEnd w:id="2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0" w:line="219" w:lineRule="auto"/>
        <w:ind w:left="459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《管理评审计划》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18" w:lineRule="auto"/>
        <w:ind w:left="459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《管理评审报告》</w:t>
      </w:r>
    </w:p>
    <w:sectPr>
      <w:footerReference w:type="default" r:id="rId13"/>
      <w:pgSz w:w="11906" w:h="16840"/>
      <w:pgMar w:top="1431" w:right="1579" w:bottom="1361" w:left="1785" w:header="0" w:footer="1197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8" w:lineRule="auto"/>
      <w:ind w:left="4127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4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image" Target="media/image7.png" /><Relationship Id="rId11" Type="http://schemas.openxmlformats.org/officeDocument/2006/relationships/image" Target="media/image8.png" /><Relationship Id="rId12" Type="http://schemas.openxmlformats.org/officeDocument/2006/relationships/image" Target="media/image9.png" /><Relationship Id="rId13" Type="http://schemas.openxmlformats.org/officeDocument/2006/relationships/footer" Target="footer1.xml" /><Relationship Id="rId14" Type="http://schemas.openxmlformats.org/officeDocument/2006/relationships/theme" Target="theme/theme1.xml" /><Relationship Id="rId15" Type="http://schemas.openxmlformats.org/officeDocument/2006/relationships/numbering" Target="numbering.xml" /><Relationship Id="rId16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image" Target="media/image4.png" /><Relationship Id="rId8" Type="http://schemas.openxmlformats.org/officeDocument/2006/relationships/image" Target="media/image5.png" /><Relationship Id="rId9" Type="http://schemas.openxmlformats.org/officeDocument/2006/relationships/image" Target="media/image6.png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7</Pages>
  <Words>1699</Words>
  <Characters>1772</Characters>
  <Application>Microsoft Office Word</Application>
  <DocSecurity>0</DocSecurity>
  <Lines>0</Lines>
  <Paragraphs>0</Paragraphs>
  <ScaleCrop>false</ScaleCrop>
  <Company/>
  <LinksUpToDate>false</LinksUpToDate>
  <CharactersWithSpaces>1887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谢永刚</dc:creator>
  <cp:lastModifiedBy>nancy杨茜</cp:lastModifiedBy>
  <cp:revision>0</cp:revision>
  <dcterms:created xsi:type="dcterms:W3CDTF">2025-08-18T17:53:00Z</dcterms:created>
  <dcterms:modified xsi:type="dcterms:W3CDTF">2026-01-07T21:24:59Z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2025-08-20T23:38:59Z</vt:filetime>
  </property>
  <property fmtid="{D5CDD505-2E9C-101B-9397-08002B2CF9AE}" pid="3" name="CRO">
    <vt:lpwstr>wqlLaW5nc29mdCBQREYgdG8gV1BTIDExNQ</vt:lpwstr>
  </property>
  <property fmtid="{D5CDD505-2E9C-101B-9397-08002B2CF9AE}" pid="4" name="ICV">
    <vt:lpwstr>3F0C7784048F47009E75188F61B4F63E_12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