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2014"/>
      <w:bookmarkStart w:id="1" w:name="_GoBack"/>
      <w:bookmarkEnd w:id="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客户投诉应对及处理管理规定</w:t>
      </w:r>
      <w:bookmarkEnd w:id="0"/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9" w:lineRule="auto"/>
        <w:textAlignment w:val="baseline"/>
      </w:pP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30672"/>
      <w:r>
        <w:t>中达丰集团有限公司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11"/>
          <w:sz w:val="36"/>
          <w:szCs w:val="36"/>
        </w:rPr>
        <w:t>2025年7月4日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eastAsia="宋体" w:hAnsi="宋体" w:cs="宋体"/>
          <w:sz w:val="28"/>
          <w:szCs w:val="28"/>
        </w:rPr>
      </w:pPr>
      <w:bookmarkStart w:id="3" w:name="_Toc17113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3"/>
    </w:p>
    <w:tbl>
      <w:tblPr>
        <w:tblStyle w:val="TableNormal0"/>
        <w:tblW w:w="90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>
        <w:tblPrEx>
          <w:tblW w:w="90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客户投诉应对及处理管理规定（ZDFJT-IT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SS-KHTSYDJCL）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审核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2025-7-4</w:t>
            </w:r>
          </w:p>
        </w:tc>
        <w:tc>
          <w:tcPr>
            <w:tcW w:w="23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吴向阳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num="1" w:space="720"/>
        </w:sectPr>
      </w:pPr>
    </w:p>
    <w:sdt>
      <w:sdtPr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  <w:id w:val="147463898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_Toc22014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客户投诉应对及处理管理规定</w:t>
          </w:r>
          <w:r>
            <w:tab/>
          </w:r>
          <w:r>
            <w:fldChar w:fldCharType="begin"/>
          </w:r>
          <w:r>
            <w:instrText xml:space="preserve"> PAGEREF _Toc22014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_Toc30672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_Toc30672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_Toc17113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_Toc17113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_Toc22516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_Toc22516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_Toc24306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_Toc24306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_Toc15418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_Toc15418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_Toc15884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_Toc15884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_Toc23107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_Toc23107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_Toc5257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投诉的定义</w:t>
          </w:r>
          <w:r>
            <w:tab/>
          </w:r>
          <w:r>
            <w:fldChar w:fldCharType="begin"/>
          </w:r>
          <w:r>
            <w:instrText xml:space="preserve"> PAGEREF _Toc5257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_Toc7462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产生投诉的因素</w:t>
          </w:r>
          <w:r>
            <w:tab/>
          </w:r>
          <w:r>
            <w:fldChar w:fldCharType="begin"/>
          </w:r>
          <w:r>
            <w:instrText xml:space="preserve"> PAGEREF _Toc7462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_Toc28787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投诉的影响</w:t>
          </w:r>
          <w:r>
            <w:tab/>
          </w:r>
          <w:r>
            <w:fldChar w:fldCharType="begin"/>
          </w:r>
          <w:r>
            <w:instrText xml:space="preserve"> PAGEREF _Toc28787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_Toc13517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客户投诉应对目的</w:t>
          </w:r>
          <w:r>
            <w:tab/>
          </w:r>
          <w:r>
            <w:fldChar w:fldCharType="begin"/>
          </w:r>
          <w:r>
            <w:instrText xml:space="preserve"> PAGEREF _Toc13517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_Toc23537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投诉级别</w:t>
          </w:r>
          <w:r>
            <w:tab/>
          </w:r>
          <w:r>
            <w:fldChar w:fldCharType="begin"/>
          </w:r>
          <w:r>
            <w:instrText xml:space="preserve"> PAGEREF _Toc23537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_Toc15645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11. </w:t>
          </w:r>
          <w:r>
            <w:t>客户投诉应对及处理的注意事项</w:t>
          </w:r>
          <w:r>
            <w:tab/>
          </w:r>
          <w:r>
            <w:fldChar w:fldCharType="begin"/>
          </w:r>
          <w:r>
            <w:instrText xml:space="preserve"> PAGEREF _Toc15645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_Toc15428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客户投诉处罚规定</w:t>
          </w:r>
          <w:r>
            <w:tab/>
          </w:r>
          <w:r>
            <w:fldChar w:fldCharType="begin"/>
          </w:r>
          <w:r>
            <w:instrText xml:space="preserve"> PAGEREF _Toc15428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_Toc9084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13.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_Toc9084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_Toc6588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14.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_Toc6588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eastAsia="Times New Roman" w:hAnsi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2516"/>
      <w:r>
        <w:t>目的</w:t>
      </w:r>
      <w:bookmarkEnd w:id="4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eastAsia="宋体" w:hAnsi="宋体" w:cs="宋体"/>
          <w:spacing w:val="-5"/>
          <w:sz w:val="24"/>
          <w:szCs w:val="24"/>
        </w:rPr>
        <w:t>内容和要求，特制定此管理规定。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4306"/>
      <w:r>
        <w:t>适用范围</w:t>
      </w:r>
      <w:bookmarkEnd w:id="5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420" w:firstLineChars="200"/>
        <w:textAlignment w:val="baseline"/>
        <w:rPr>
          <w:rFonts w:ascii="宋体" w:eastAsia="宋体" w:hAnsi="宋体" w:cs="宋体"/>
          <w:spacing w:val="-5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本手册适用于本公司参与运维服务业务的部门和人员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5418"/>
      <w:r>
        <w:t>引用文件</w:t>
      </w:r>
      <w:bookmarkEnd w:id="6"/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</w:rPr>
        <w:t>T/CESA 1299—2023</w:t>
      </w:r>
      <w:r>
        <w:rPr>
          <w:rFonts w:ascii="宋体" w:eastAsia="宋体" w:hAnsi="宋体" w:cs="宋体"/>
          <w:spacing w:val="-2"/>
          <w:sz w:val="24"/>
          <w:szCs w:val="24"/>
        </w:rPr>
        <w:t xml:space="preserve"> 《信息技术服务 运行维护服务能力成熟度模型》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 xml:space="preserve">GB/T 28827.1-2022 </w:t>
      </w:r>
      <w:r>
        <w:rPr>
          <w:rFonts w:ascii="宋体" w:eastAsia="宋体" w:hAnsi="宋体" w:cs="宋体"/>
          <w:spacing w:val="-2"/>
          <w:sz w:val="24"/>
          <w:szCs w:val="24"/>
        </w:rPr>
        <w:t>《信息技术服务 运行维护 第</w:t>
      </w:r>
      <w:r>
        <w:rPr>
          <w:rFonts w:ascii="宋体" w:eastAsia="宋体" w:hAnsi="宋体" w:cs="宋体"/>
          <w:spacing w:val="-33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1</w:t>
      </w:r>
      <w:r>
        <w:rPr>
          <w:rFonts w:ascii="宋体" w:eastAsia="宋体" w:hAnsi="宋体" w:cs="宋体"/>
          <w:spacing w:val="-47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部分：通用要求》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GB/T 29264-2012 《信息技术服务 分类与代码》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国家有关法律、法规及行业标准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 xml:space="preserve"> </w:t>
      </w:r>
      <w:bookmarkStart w:id="7" w:name="_Toc15884"/>
      <w:r>
        <w:t>术语与定义</w:t>
      </w:r>
      <w:bookmarkEnd w:id="7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9" w:line="220" w:lineRule="auto"/>
        <w:ind w:left="724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无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3107"/>
      <w:r>
        <w:t>角色与职责</w:t>
      </w:r>
      <w:bookmarkEnd w:id="8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3" w:lineRule="exact"/>
        <w:textAlignment w:val="baseline"/>
      </w:pPr>
    </w:p>
    <w:tbl>
      <w:tblPr>
        <w:tblStyle w:val="TableNormal0"/>
        <w:tblW w:w="852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422"/>
        <w:gridCol w:w="3257"/>
      </w:tblGrid>
      <w:tr>
        <w:tblPrEx>
          <w:tblW w:w="852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/>
        </w:trPr>
        <w:tc>
          <w:tcPr>
            <w:tcW w:w="2842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21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422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1" w:lineRule="auto"/>
              <w:ind w:left="1005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257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right="2"/>
              <w:jc w:val="right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>
        <w:tblPrEx>
          <w:tblW w:w="852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/>
        </w:trPr>
        <w:tc>
          <w:tcPr>
            <w:tcW w:w="284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89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42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7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2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004"/>
              <w:textAlignment w:val="baseline"/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>
        <w:tblPrEx>
          <w:tblW w:w="852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/>
        </w:trPr>
        <w:tc>
          <w:tcPr>
            <w:tcW w:w="284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89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242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69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2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121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</w:tr>
      <w:tr>
        <w:tblPrEx>
          <w:tblW w:w="852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/>
        </w:trPr>
        <w:tc>
          <w:tcPr>
            <w:tcW w:w="284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119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242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69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2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323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28" w:lineRule="auto"/>
        <w:textAlignment w:val="baseline"/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5257"/>
      <w:r>
        <w:t>投诉的定义</w:t>
      </w:r>
      <w:bookmarkEnd w:id="9"/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投诉就是客户对提供的服务等产生不满而引起的抱怨；即客户的期待和现实之间产生的差距。</w:t>
      </w:r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表象：客户对服务的不满意和责难；本质：客户对企业信赖度与期待度的体现，也就是企业的弱点所在。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7462"/>
      <w:r>
        <w:t>产生投诉的因素</w:t>
      </w:r>
      <w:bookmarkEnd w:id="10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对服务的不满意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对服务态度方式的不满意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8787"/>
      <w:r>
        <w:t>投诉的影响</w:t>
      </w:r>
      <w:bookmarkEnd w:id="11"/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客户投诉未能及时妥善的处理，会导致客户抱怨升级和流失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不满客户会把他对公司的不满扩大，告诉他周围的朋友，同时影响公司声誉无形中失去潜在客户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3517"/>
      <w:r>
        <w:t>客户投诉应对目的</w:t>
      </w:r>
      <w:bookmarkEnd w:id="12"/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及时有效的响应客户的投诉需求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避免引起严重的纠纷及恶性事件（涉及赔偿金额较大、安全性能及第三方介入）；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使客户投诉处理统一标准化、流程化、口径一致，提高处理客户投诉的时效性；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高度重视客户投诉，谨慎的处理客户投诉，降低客户投诉率，达到让投诉的客户再度满意；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重新赢得客户的对公司信任，减少客户的流失，增强企业的服务品牌；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提供全体员工的市场意识，客户的流失就是资源的浪费；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3537"/>
      <w:r>
        <w:t>投诉级别</w:t>
      </w:r>
      <w:bookmarkEnd w:id="13"/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特急（A 类）指在接到《客户投诉处理表》或电话通知后，应在 3 小时内出具处理方案的特殊情况；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紧急（B 类）指在接到本表或电话通知后，应在 12 小时内出具处理方案的情况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一般（C 类）指在接到本表或电话通知后，应在 3 天内出具处理方案的情况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15645"/>
      <w:r>
        <w:t>客户投诉应对及处理的注意事项</w:t>
      </w:r>
      <w:bookmarkEnd w:id="14"/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客户投诉处理负责人不得随意承诺客户做不到的，承诺了必须兑现；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出现客户投诉时，按公司统一的投诉受理流程及投诉处理流程进行，实施逐层上报处理，遇到重大投诉需第一时间汇报给公司最高责任人，必要时请厂家给予支持；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对于客户提出的不合理的要求，要坚持立场和原则进行适当的回绝；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处理客户投诉责任人，对外必须统一口径，使用标准话术，针对不同的客户投诉采取适当的处理方法；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遇到重大客户投诉时，须由专人负责应对客户的投诉，各部门经理是应对重大客户投诉的第一负责人，统一口径，其他人不得随意主动和客户联系或发表言论；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受理客户投诉，任何人不得向外推托，需重视客户投诉，优先解决处理；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处理客户投诉时，态度主动，积极推进；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处理客户投诉不是最终目的，通过客户投诉的处理提出今后工作改善的方向及预防措施，不断提高服务质量；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定期分析客户投诉，组织人员召开案例分析大会，总结经验教训，防止问题再次出现；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重大投诉客户资料需要特殊处理。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bookmark1"/>
      <w:bookmarkEnd w:id="15"/>
      <w:bookmarkStart w:id="16" w:name="_Toc15428"/>
      <w:r>
        <w:t>客户投诉处罚规定</w:t>
      </w:r>
      <w:bookmarkEnd w:id="16"/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客户来电或回访过程中产生投诉的，经过调查分析属于有效投诉的，判定责任人后，给予责任人月度/季度考核中进行减分；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部门经理在接到客户投诉单后，必须按照投诉级别的时间规定进行处理，若未及时处理的投诉单，给予部门经理季度考核中进行减分；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经过调查分析，判别属于有效客户投诉的，由服务台负责开具罚款单，由部门经理签字确认、当事人签字确认后，责任人按照处罚单金额交现金给服务台，服务台将投诉处罚单及处罚金全部上交公司财务。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9084"/>
      <w:r>
        <w:t>相关文档</w:t>
      </w:r>
      <w:bookmarkEnd w:id="17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无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6588"/>
      <w:r>
        <w:t>附则</w:t>
      </w:r>
      <w:bookmarkEnd w:id="18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本制度由公司质量部拟定，自批准颁布之日起施行。</w:t>
      </w:r>
    </w:p>
    <w:sectPr>
      <w:footerReference w:type="default" r:id="rId4"/>
      <w:pgSz w:w="11906" w:h="16839"/>
      <w:pgMar w:top="1431" w:right="1639" w:bottom="1375" w:left="1785" w:header="0" w:footer="1211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130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3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06D78"/>
    <w:multiLevelType w:val="singleLevel"/>
    <w:tmpl w:val="9BE06D78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9CE810F1"/>
    <w:multiLevelType w:val="singleLevel"/>
    <w:tmpl w:val="9CE810F1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ACA3EF55"/>
    <w:multiLevelType w:val="singleLevel"/>
    <w:tmpl w:val="ACA3EF55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ADADE8EA"/>
    <w:multiLevelType w:val="singleLevel"/>
    <w:tmpl w:val="ADADE8EA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01D3CBF1"/>
    <w:multiLevelType w:val="singleLevel"/>
    <w:tmpl w:val="01D3CBF1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1BD786F8"/>
    <w:multiLevelType w:val="singleLevel"/>
    <w:tmpl w:val="1BD786F8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2E9ECED5"/>
    <w:multiLevelType w:val="singleLevel"/>
    <w:tmpl w:val="2E9ECED5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4CF9BA25"/>
    <w:multiLevelType w:val="singleLevel"/>
    <w:tmpl w:val="4CF9BA25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7"/>
  </w:num>
  <w:num w:numId="6">
    <w:abstractNumId w:val="4"/>
  </w:num>
  <w:num w:numId="7">
    <w:abstractNumId w:val="2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6</Pages>
  <Words>1618</Words>
  <Characters>1706</Characters>
  <Application>Microsoft Office Word</Application>
  <DocSecurity>0</DocSecurity>
  <Lines>0</Lines>
  <Paragraphs>0</Paragraphs>
  <ScaleCrop>false</ScaleCrop>
  <Company/>
  <LinksUpToDate>false</LinksUpToDate>
  <CharactersWithSpaces>1793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nancy杨茜</cp:lastModifiedBy>
  <cp:revision>0</cp:revision>
  <dcterms:created xsi:type="dcterms:W3CDTF">2025-08-18T18:01:00Z</dcterms:created>
  <dcterms:modified xsi:type="dcterms:W3CDTF">2026-01-07T21:25:07Z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2025-08-21T00:01:28Z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50B138F8D0FC4B05BB76469D4DD7DCD1_12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