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  <w:bookmarkStart w:id="0" w:name="_Toc9014"/>
    </w:p>
    <w:p>
      <w:pPr>
        <w:pStyle w:val="a1"/>
        <w:bidi w:val="0"/>
      </w:pPr>
      <w:r>
        <w:t>管理评审报告</w:t>
      </w:r>
      <w:bookmarkEnd w:id="0"/>
    </w:p>
    <w:p>
      <w:pPr>
        <w:pStyle w:val="a2"/>
        <w:bidi w:val="0"/>
      </w:pPr>
      <w:bookmarkStart w:id="1" w:name="_Toc1295"/>
      <w:r>
        <w:t>中达丰集团有限公司</w:t>
      </w:r>
      <w:bookmarkEnd w:id="1"/>
    </w:p>
    <w:p>
      <w:pPr>
        <w:spacing w:before="117" w:line="219" w:lineRule="auto"/>
        <w:ind w:left="0" w:right="0" w:firstLine="0" w:leftChars="0" w:rightChars="0" w:firstLineChars="0"/>
        <w:jc w:val="center"/>
        <w:rPr>
          <w:rFonts w:ascii="宋体" w:eastAsia="宋体" w:hAnsi="宋体" w:cs="宋体" w:hint="default"/>
          <w:spacing w:val="-1"/>
          <w:sz w:val="36"/>
          <w:szCs w:val="36"/>
          <w:lang w:val="en-US" w:eastAsia="zh-CN"/>
        </w:rPr>
      </w:pPr>
      <w:r>
        <w:rPr>
          <w:rFonts w:ascii="宋体" w:eastAsia="宋体" w:hAnsi="宋体" w:cs="宋体" w:hint="eastAsia"/>
          <w:spacing w:val="-1"/>
          <w:sz w:val="36"/>
          <w:szCs w:val="36"/>
          <w:lang w:val="en-US" w:eastAsia="zh-CN"/>
        </w:rPr>
        <w:t>2025年10月2</w:t>
      </w:r>
      <w:r>
        <w:rPr>
          <w:rFonts w:ascii="宋体" w:hAnsi="宋体" w:cs="宋体" w:hint="eastAsia"/>
          <w:spacing w:val="-1"/>
          <w:sz w:val="36"/>
          <w:szCs w:val="36"/>
          <w:lang w:val="en-US" w:eastAsia="zh-CN"/>
        </w:rPr>
        <w:t>0</w:t>
      </w:r>
      <w:r>
        <w:rPr>
          <w:rFonts w:ascii="宋体" w:eastAsia="宋体" w:hAnsi="宋体" w:cs="宋体" w:hint="eastAsia"/>
          <w:spacing w:val="-1"/>
          <w:sz w:val="36"/>
          <w:szCs w:val="36"/>
          <w:lang w:val="en-US" w:eastAsia="zh-CN"/>
        </w:rPr>
        <w:t>日</w:t>
      </w:r>
    </w:p>
    <w:p>
      <w:pPr>
        <w:spacing w:line="219" w:lineRule="auto"/>
        <w:rPr>
          <w:rFonts w:ascii="宋体" w:eastAsia="宋体" w:hAnsi="宋体" w:cs="宋体"/>
          <w:sz w:val="36"/>
          <w:szCs w:val="36"/>
        </w:rPr>
        <w:sectPr>
          <w:headerReference w:type="default" r:id="rId5"/>
          <w:footerReference w:type="default" r:id="rId6"/>
          <w:pgSz w:w="11906" w:h="16839"/>
          <w:pgMar w:top="1105" w:right="1151" w:bottom="1360" w:left="1672" w:header="1090" w:footer="1344" w:gutter="0"/>
          <w:cols w:num="1" w:space="720"/>
        </w:sectPr>
      </w:pPr>
    </w:p>
    <w:p>
      <w:pPr>
        <w:spacing w:before="91" w:line="220" w:lineRule="auto"/>
        <w:ind w:left="3811"/>
        <w:outlineLvl w:val="0"/>
        <w:rPr>
          <w:rFonts w:ascii="宋体" w:eastAsia="宋体" w:hAnsi="宋体" w:cs="宋体"/>
          <w:sz w:val="28"/>
          <w:szCs w:val="28"/>
        </w:rPr>
      </w:pPr>
      <w:bookmarkStart w:id="2" w:name="_Toc4231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TableNormal0"/>
        <w:tblW w:w="91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4"/>
        <w:gridCol w:w="1697"/>
        <w:gridCol w:w="2342"/>
        <w:gridCol w:w="1983"/>
        <w:gridCol w:w="1564"/>
      </w:tblGrid>
      <w:tr>
        <w:tblPrEx>
          <w:tblW w:w="9150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/>
          <w:jc w:val="center"/>
        </w:trPr>
        <w:tc>
          <w:tcPr>
            <w:tcW w:w="1564" w:type="dxa"/>
            <w:vAlign w:val="center"/>
          </w:tcPr>
          <w:p>
            <w:pPr>
              <w:pStyle w:val="TableText"/>
              <w:spacing w:before="125" w:line="325" w:lineRule="auto"/>
              <w:ind w:right="251"/>
            </w:pPr>
            <w:r>
              <w:rPr>
                <w:spacing w:val="-3"/>
              </w:rPr>
              <w:t>文档名称编</w:t>
            </w:r>
            <w:r>
              <w:t>号</w:t>
            </w:r>
          </w:p>
        </w:tc>
        <w:tc>
          <w:tcPr>
            <w:tcW w:w="7586" w:type="dxa"/>
            <w:gridSpan w:val="4"/>
            <w:vAlign w:val="center"/>
          </w:tcPr>
          <w:p>
            <w:pPr>
              <w:pStyle w:val="TableText"/>
              <w:spacing w:before="78" w:line="218" w:lineRule="auto"/>
              <w:ind w:left="115"/>
            </w:pPr>
            <w:r>
              <w:rPr>
                <w:spacing w:val="-1"/>
              </w:rPr>
              <w:t>管理评审报告（ZDFJT-ITSS-GLPSBG）</w:t>
            </w:r>
          </w:p>
        </w:tc>
      </w:tr>
      <w:tr>
        <w:tblPrEx>
          <w:tblW w:w="915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564" w:type="dxa"/>
            <w:vAlign w:val="center"/>
          </w:tcPr>
          <w:p>
            <w:pPr>
              <w:pStyle w:val="TableText"/>
              <w:spacing w:before="182" w:line="220" w:lineRule="auto"/>
              <w:ind w:left="114"/>
            </w:pPr>
            <w:r>
              <w:rPr>
                <w:spacing w:val="-3"/>
              </w:rPr>
              <w:t>编制单位</w:t>
            </w:r>
          </w:p>
        </w:tc>
        <w:tc>
          <w:tcPr>
            <w:tcW w:w="7586" w:type="dxa"/>
            <w:gridSpan w:val="4"/>
            <w:vAlign w:val="center"/>
          </w:tcPr>
          <w:p>
            <w:pPr>
              <w:pStyle w:val="TableText"/>
              <w:spacing w:before="182" w:line="219" w:lineRule="auto"/>
              <w:ind w:left="109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15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564" w:type="dxa"/>
            <w:vAlign w:val="center"/>
          </w:tcPr>
          <w:p>
            <w:pPr>
              <w:pStyle w:val="TableText"/>
              <w:spacing w:before="184" w:line="220" w:lineRule="auto"/>
              <w:ind w:left="114"/>
            </w:pPr>
            <w:r>
              <w:rPr>
                <w:spacing w:val="-3"/>
              </w:rPr>
              <w:t>文档密级</w:t>
            </w:r>
          </w:p>
        </w:tc>
        <w:tc>
          <w:tcPr>
            <w:tcW w:w="7586" w:type="dxa"/>
            <w:gridSpan w:val="4"/>
            <w:vAlign w:val="center"/>
          </w:tcPr>
          <w:p>
            <w:pPr>
              <w:pStyle w:val="TableText"/>
              <w:spacing w:before="184" w:line="220" w:lineRule="auto"/>
              <w:ind w:left="108"/>
            </w:pPr>
            <w:r>
              <w:rPr>
                <w:spacing w:val="-3"/>
              </w:rPr>
              <w:t>秘密</w:t>
            </w:r>
          </w:p>
        </w:tc>
      </w:tr>
      <w:tr>
        <w:tblPrEx>
          <w:tblW w:w="915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564" w:type="dxa"/>
            <w:vAlign w:val="center"/>
          </w:tcPr>
          <w:p>
            <w:pPr>
              <w:pStyle w:val="TableText"/>
              <w:spacing w:before="186" w:line="219" w:lineRule="auto"/>
              <w:ind w:left="306"/>
            </w:pPr>
            <w:r>
              <w:rPr>
                <w:spacing w:val="-3"/>
              </w:rPr>
              <w:t>文档版本</w:t>
            </w:r>
          </w:p>
        </w:tc>
        <w:tc>
          <w:tcPr>
            <w:tcW w:w="1697" w:type="dxa"/>
            <w:vAlign w:val="center"/>
          </w:tcPr>
          <w:p>
            <w:pPr>
              <w:pStyle w:val="TableText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2" w:type="dxa"/>
            <w:vAlign w:val="center"/>
          </w:tcPr>
          <w:p>
            <w:pPr>
              <w:pStyle w:val="TableText"/>
              <w:spacing w:before="186" w:line="219" w:lineRule="auto"/>
              <w:ind w:left="696"/>
            </w:pPr>
            <w:r>
              <w:rPr>
                <w:spacing w:val="-2"/>
              </w:rPr>
              <w:t>版本说明</w:t>
            </w:r>
          </w:p>
        </w:tc>
        <w:tc>
          <w:tcPr>
            <w:tcW w:w="1983" w:type="dxa"/>
            <w:vAlign w:val="center"/>
          </w:tcPr>
          <w:p>
            <w:pPr>
              <w:pStyle w:val="TableText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4" w:type="dxa"/>
            <w:vAlign w:val="center"/>
          </w:tcPr>
          <w:p>
            <w:pPr>
              <w:pStyle w:val="TableText"/>
              <w:spacing w:before="187" w:line="220" w:lineRule="auto"/>
              <w:ind w:left="560"/>
            </w:pPr>
            <w:r>
              <w:rPr>
                <w:spacing w:val="-6"/>
              </w:rPr>
              <w:t>审核</w:t>
            </w:r>
          </w:p>
        </w:tc>
      </w:tr>
      <w:tr>
        <w:tblPrEx>
          <w:tblW w:w="915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/>
          <w:jc w:val="center"/>
        </w:trPr>
        <w:tc>
          <w:tcPr>
            <w:tcW w:w="1564" w:type="dxa"/>
            <w:vAlign w:val="center"/>
          </w:tcPr>
          <w:p>
            <w:pPr>
              <w:pStyle w:val="TableText"/>
              <w:spacing w:before="162" w:line="239" w:lineRule="auto"/>
              <w:ind w:left="539"/>
            </w:pPr>
            <w:r>
              <w:rPr>
                <w:spacing w:val="-1"/>
              </w:rPr>
              <w:t>V1.0</w:t>
            </w:r>
          </w:p>
        </w:tc>
        <w:tc>
          <w:tcPr>
            <w:tcW w:w="1697" w:type="dxa"/>
            <w:vAlign w:val="center"/>
          </w:tcPr>
          <w:p>
            <w:pPr>
              <w:pStyle w:val="TableText"/>
              <w:spacing w:before="162"/>
              <w:ind w:left="313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42" w:type="dxa"/>
            <w:vAlign w:val="center"/>
          </w:tcPr>
          <w:p>
            <w:pPr>
              <w:pStyle w:val="TableText"/>
              <w:spacing w:before="128" w:line="219" w:lineRule="auto"/>
              <w:ind w:left="699"/>
            </w:pPr>
            <w:r>
              <w:rPr>
                <w:spacing w:val="-3"/>
              </w:rPr>
              <w:t>发布版本</w:t>
            </w:r>
          </w:p>
        </w:tc>
        <w:tc>
          <w:tcPr>
            <w:tcW w:w="1983" w:type="dxa"/>
            <w:vAlign w:val="center"/>
          </w:tcPr>
          <w:p>
            <w:pPr>
              <w:pStyle w:val="TableText"/>
              <w:spacing w:before="128" w:line="220" w:lineRule="auto"/>
              <w:ind w:left="639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4" w:type="dxa"/>
            <w:vAlign w:val="center"/>
          </w:tcPr>
          <w:p>
            <w:pPr>
              <w:pStyle w:val="TableText"/>
              <w:spacing w:before="128" w:line="220" w:lineRule="auto"/>
              <w:ind w:left="433"/>
            </w:pPr>
            <w:r>
              <w:rPr>
                <w:spacing w:val="-4"/>
              </w:rPr>
              <w:t>吴向阳</w:t>
            </w:r>
          </w:p>
        </w:tc>
      </w:tr>
      <w:tr>
        <w:tblPrEx>
          <w:tblW w:w="915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56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15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56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BodyText"/>
      </w:pPr>
    </w:p>
    <w:p>
      <w:pPr>
        <w:sectPr>
          <w:headerReference w:type="default" r:id="rId7"/>
          <w:footerReference w:type="default" r:id="rId8"/>
          <w:pgSz w:w="11906" w:h="16839"/>
          <w:pgMar w:top="400" w:right="1150" w:bottom="1233" w:left="1595" w:header="0" w:footer="107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91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_Toc9014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管理评审报告</w:t>
          </w:r>
          <w:r>
            <w:tab/>
          </w:r>
          <w:r>
            <w:fldChar w:fldCharType="begin"/>
          </w:r>
          <w:r>
            <w:instrText xml:space="preserve"> PAGEREF _Toc9014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_Toc1295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_Toc1295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_Toc4231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_Toc4231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_Toc4676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_Toc4676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_Toc15121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审核依据</w:t>
          </w:r>
          <w:r>
            <w:tab/>
          </w:r>
          <w:r>
            <w:fldChar w:fldCharType="begin"/>
          </w:r>
          <w:r>
            <w:instrText xml:space="preserve"> PAGEREF _Toc15121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_Toc10060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参会人员</w:t>
          </w:r>
          <w:r>
            <w:tab/>
          </w:r>
          <w:r>
            <w:fldChar w:fldCharType="begin"/>
          </w:r>
          <w:r>
            <w:instrText xml:space="preserve"> PAGEREF _Toc10060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_Toc7332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评审主要步骤</w:t>
          </w:r>
          <w:r>
            <w:tab/>
          </w:r>
          <w:r>
            <w:fldChar w:fldCharType="begin"/>
          </w:r>
          <w:r>
            <w:instrText xml:space="preserve"> PAGEREF _Toc7332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_Toc1203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_Toc1203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_Toc20909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评审结论</w:t>
          </w:r>
          <w:r>
            <w:tab/>
          </w:r>
          <w:r>
            <w:fldChar w:fldCharType="begin"/>
          </w:r>
          <w:r>
            <w:instrText xml:space="preserve"> PAGEREF _Toc20909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_Toc766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运维能力体系运行的适宜性、有效性评审</w:t>
          </w:r>
          <w:r>
            <w:tab/>
          </w:r>
          <w:r>
            <w:fldChar w:fldCharType="begin"/>
          </w:r>
          <w:r>
            <w:instrText xml:space="preserve"> PAGEREF _Toc766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_Toc28483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2025年质量内部审核评审</w:t>
          </w:r>
          <w:r>
            <w:tab/>
          </w:r>
          <w:r>
            <w:fldChar w:fldCharType="begin"/>
          </w:r>
          <w:r>
            <w:instrText xml:space="preserve"> PAGEREF _Toc28483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_Toc3836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满意度调查评审</w:t>
          </w:r>
          <w:r>
            <w:tab/>
          </w:r>
          <w:r>
            <w:fldChar w:fldCharType="begin"/>
          </w:r>
          <w:r>
            <w:instrText xml:space="preserve"> PAGEREF _Toc3836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_Toc4773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客户投诉情况评审</w:t>
          </w:r>
          <w:r>
            <w:tab/>
          </w:r>
          <w:r>
            <w:fldChar w:fldCharType="begin"/>
          </w:r>
          <w:r>
            <w:instrText xml:space="preserve"> PAGEREF _Toc4773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7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_Toc28126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_Toc28126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spacing w:line="220" w:lineRule="auto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spacing w:line="220" w:lineRule="auto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w:type="default" r:id="rId9"/>
          <w:pgSz w:w="11906" w:h="16839"/>
          <w:pgMar w:top="1040" w:right="1710" w:bottom="1234" w:left="1709" w:header="0" w:footer="1070" w:gutter="0"/>
          <w:cols w:num="1" w:space="720"/>
        </w:sectPr>
      </w:pPr>
    </w:p>
    <w:p>
      <w:pPr>
        <w:pStyle w:val="1"/>
        <w:bidi w:val="0"/>
      </w:pPr>
      <w:bookmarkStart w:id="3" w:name="_Toc4676"/>
      <w:r>
        <w:t>审核目的</w:t>
      </w:r>
      <w:bookmarkEnd w:id="3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20" w:firstLineChars="20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对公司运维能力体系运行现状进行评审，评价其持续的适宜性和有效性。</w:t>
      </w:r>
    </w:p>
    <w:p>
      <w:pPr>
        <w:pStyle w:val="1"/>
        <w:bidi w:val="0"/>
      </w:pPr>
      <w:bookmarkStart w:id="4" w:name="_Toc15121"/>
      <w:r>
        <w:t>审核依据</w:t>
      </w:r>
      <w:bookmarkEnd w:id="4"/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T/CESA 1299—2023《信息技术服务 运行维护服务能力成熟度模型》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GB/ T 28827.1-20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2</w:t>
      </w:r>
      <w:r>
        <w:rPr>
          <w:rFonts w:ascii="宋体" w:eastAsia="宋体" w:hAnsi="宋体" w:cs="宋体" w:hint="eastAsia"/>
          <w:spacing w:val="-1"/>
          <w:sz w:val="24"/>
          <w:szCs w:val="24"/>
        </w:rPr>
        <w:t>2《信息技术服务 运行维护 第 1 部分：通用要求》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GB/ T 29264-2012 《信息技术服务 分类与代码》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GB/ T 28827.2-2012 《信息技术服务 运行维护 第 2 部分:交付规范》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GB/  T 28827.3-2012 《信息技术服务 运行维护 第 3 部分:应急响应规范》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国家有关法律、法规及行业标准</w:t>
      </w:r>
    </w:p>
    <w:p>
      <w:pPr>
        <w:pStyle w:val="1"/>
        <w:bidi w:val="0"/>
      </w:pPr>
      <w:bookmarkStart w:id="5" w:name="_Toc10060"/>
      <w:r>
        <w:t>参会人员</w:t>
      </w:r>
      <w:bookmarkEnd w:id="5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20" w:hangingChars="200"/>
        <w:textAlignment w:val="baseline"/>
        <w:rPr>
          <w:rFonts w:ascii="宋体" w:eastAsia="宋体" w:hAnsi="宋体" w:cs="宋体" w:hint="default"/>
          <w:spacing w:val="-1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组长：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李平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20" w:hangingChars="20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组员：秦立祥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、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肖龙莽、牛凯娟、庄霞</w:t>
      </w:r>
    </w:p>
    <w:p>
      <w:pPr>
        <w:pStyle w:val="1"/>
        <w:bidi w:val="0"/>
      </w:pPr>
      <w:bookmarkStart w:id="6" w:name="_Toc7332"/>
      <w:r>
        <w:t>评审主要步骤</w:t>
      </w:r>
      <w:bookmarkEnd w:id="6"/>
    </w:p>
    <w:p>
      <w:pPr>
        <w:numPr>
          <w:ilvl w:val="0"/>
          <w:numId w:val="3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质量部汇总公司IT运维服务管理指标、管理能力情况、体系实施情况、客户满意度调查结果、内审报告、不符合项报告及其关闭材料等；</w:t>
      </w:r>
    </w:p>
    <w:p>
      <w:pPr>
        <w:numPr>
          <w:ilvl w:val="0"/>
          <w:numId w:val="3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公司管理层对管理评审材料进行审核并签署评审意见；</w:t>
      </w:r>
    </w:p>
    <w:p>
      <w:pPr>
        <w:numPr>
          <w:ilvl w:val="0"/>
          <w:numId w:val="3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质量部负责协助管理者代表纠正各部门发现的问题，并跟踪验证纠正</w:t>
      </w:r>
    </w:p>
    <w:p>
      <w:pPr>
        <w:numPr>
          <w:ilvl w:val="0"/>
          <w:numId w:val="3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预防措施的执行情况；</w:t>
      </w:r>
    </w:p>
    <w:p>
      <w:pPr>
        <w:numPr>
          <w:ilvl w:val="0"/>
          <w:numId w:val="3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总经理对管理评审报告进行审批。</w:t>
      </w:r>
    </w:p>
    <w:p>
      <w:pPr>
        <w:pStyle w:val="1"/>
        <w:bidi w:val="0"/>
      </w:pPr>
      <w:bookmarkStart w:id="7" w:name="_Toc1203"/>
      <w:r>
        <w:t>评审内容</w:t>
      </w:r>
      <w:bookmarkEnd w:id="7"/>
    </w:p>
    <w:p>
      <w:pPr>
        <w:numPr>
          <w:ilvl w:val="0"/>
          <w:numId w:val="4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 w:hint="default"/>
          <w:spacing w:val="-3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3"/>
          <w:sz w:val="24"/>
          <w:szCs w:val="24"/>
          <w:lang w:val="en-US" w:eastAsia="zh-CN"/>
        </w:rPr>
        <w:t>2025年内部审核报告</w:t>
      </w:r>
    </w:p>
    <w:p>
      <w:pPr>
        <w:numPr>
          <w:ilvl w:val="0"/>
          <w:numId w:val="4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各部门指标完成情况</w:t>
      </w:r>
    </w:p>
    <w:p>
      <w:pPr>
        <w:numPr>
          <w:ilvl w:val="0"/>
          <w:numId w:val="4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 xml:space="preserve"> 客户满意度调查和客户投诉情况</w:t>
      </w:r>
    </w:p>
    <w:p>
      <w:pPr>
        <w:numPr>
          <w:ilvl w:val="0"/>
          <w:numId w:val="4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公司的组织结构、职责分配、资源配备的适宜性</w:t>
      </w:r>
    </w:p>
    <w:p>
      <w:pPr>
        <w:numPr>
          <w:ilvl w:val="0"/>
          <w:numId w:val="4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体系要素及文件的适宜性</w:t>
      </w:r>
    </w:p>
    <w:p>
      <w:pPr>
        <w:numPr>
          <w:ilvl w:val="0"/>
          <w:numId w:val="4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客户及员工对运维服务能力体系的合理化建议</w:t>
      </w:r>
    </w:p>
    <w:p>
      <w:pPr>
        <w:numPr>
          <w:ilvl w:val="0"/>
          <w:numId w:val="4"/>
        </w:numPr>
        <w:spacing w:before="267" w:line="301" w:lineRule="auto"/>
        <w:ind w:left="425" w:right="36" w:hanging="425" w:leftChars="0" w:firstLineChars="0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其他</w:t>
      </w:r>
    </w:p>
    <w:p>
      <w:pPr>
        <w:pStyle w:val="1"/>
        <w:bidi w:val="0"/>
      </w:pPr>
      <w:bookmarkStart w:id="8" w:name="_Toc20909"/>
      <w:r>
        <w:t>评审结论</w:t>
      </w:r>
      <w:bookmarkEnd w:id="8"/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leftChars="0" w:firstLineChars="200"/>
        <w:textAlignment w:val="baseline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根据各部门所提交的项目实施和部门总结资料，评审组成员经过认真的审核和讨论，就下面几项内容达成共识：</w:t>
      </w:r>
    </w:p>
    <w:p>
      <w:pPr>
        <w:pStyle w:val="2"/>
        <w:bidi w:val="0"/>
      </w:pPr>
      <w:bookmarkStart w:id="9" w:name="_Toc766"/>
      <w:r>
        <w:t>运维能力体系运行的适宜性、有效性评审</w:t>
      </w:r>
      <w:bookmarkEnd w:id="9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我公司运维能力体系自建设和运行以来，公司的运维服务能力和项目服务质量有了明显的提高。由于在管理和服务过程中明确了相关标准，整合了公司的组织架构，搭建了相关体系，完善了过程的可追朔性，明确了各部门及各岗位的职责，使得公司的职责权限更加合理分明，业务流程更加顺畅。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公司在2025年对全体员工加大了运维能力体系方面的培训力度，能力体系得到全体员工的理解和支持。评审认为：我公司运维能力体系提高了公司的管理水平，增强了公司的实力和竞争力，它是适宜的、充分的和有效的。</w:t>
      </w:r>
    </w:p>
    <w:p>
      <w:pPr>
        <w:pStyle w:val="2"/>
        <w:bidi w:val="0"/>
      </w:pPr>
      <w:bookmarkStart w:id="10" w:name="_Toc28483"/>
      <w:r>
        <w:t>2025年质量内部审核评审</w:t>
      </w:r>
      <w:bookmarkEnd w:id="10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2025年我公司于</w:t>
      </w:r>
      <w:r>
        <w:rPr>
          <w:rFonts w:ascii="宋体" w:hAnsi="宋体" w:cs="宋体" w:hint="eastAsia"/>
          <w:sz w:val="24"/>
          <w:szCs w:val="24"/>
          <w:lang w:val="en-US" w:eastAsia="zh-CN"/>
        </w:rPr>
        <w:t>10</w:t>
      </w:r>
      <w:r>
        <w:rPr>
          <w:rFonts w:ascii="宋体" w:eastAsia="宋体" w:hAnsi="宋体" w:cs="宋体"/>
          <w:sz w:val="24"/>
          <w:szCs w:val="24"/>
        </w:rPr>
        <w:t>月组织了1次内部审核，共开出1份不符合项报告下发到相关部门，相关责任部门认真进行了原因分析，制定了相应的纠正措施。质量部在规定期限内做了实际验证，现已全部纠正完毕，全部达到运维管理体系的要求。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</w:pPr>
      <w:r>
        <w:rPr>
          <w:rFonts w:ascii="宋体" w:eastAsia="宋体" w:hAnsi="宋体" w:cs="宋体"/>
          <w:sz w:val="24"/>
          <w:szCs w:val="24"/>
        </w:rPr>
        <w:t>通过本次审核，对我公司的运维能力体系运行情况进行了一次全面的了解及检查，发现问题并及时解决，完善了公司管理体制，提高了公司的管理水平，保证了公司的正常运作及持续发展。</w:t>
      </w:r>
    </w:p>
    <w:p>
      <w:pPr>
        <w:pStyle w:val="2"/>
        <w:bidi w:val="0"/>
      </w:pPr>
      <w:bookmarkStart w:id="11" w:name="_Toc3836"/>
      <w:r>
        <w:t>满意度调查评审</w:t>
      </w:r>
      <w:bookmarkEnd w:id="11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通过项目满意度调查统计分析，公司客户满意度平均分为 96 分，达到了公司满意度指标要求，客户对我公司服务质量持认可态度。评审认为 ：我公司当前项目运行情况是正常的，达到了2025年年度规划的要求。希望各部门再接再厉，不断的改进我们的工作。</w:t>
      </w:r>
    </w:p>
    <w:p>
      <w:pPr>
        <w:pStyle w:val="2"/>
        <w:bidi w:val="0"/>
      </w:pPr>
      <w:bookmarkStart w:id="12" w:name="_Toc4773"/>
      <w:r>
        <w:t>客户投诉情况评审</w:t>
      </w:r>
      <w:bookmarkEnd w:id="12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暂无接受到任何有效投诉事件。</w:t>
      </w:r>
    </w:p>
    <w:p>
      <w:pPr>
        <w:pStyle w:val="2"/>
        <w:bidi w:val="0"/>
      </w:pPr>
      <w:bookmarkStart w:id="13" w:name="_Toc28126"/>
      <w:r>
        <w:t>结论</w:t>
      </w:r>
      <w:bookmarkEnd w:id="13"/>
      <w:bookmarkStart w:id="14" w:name="_GoBack"/>
      <w:bookmarkEnd w:id="14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2025年度公司管理评审在公司各部门的积极配合下圆满地结束了，对本次管理评审公司各相关部门做了周密的安排，参加会议的各部门人员也做了充分的准备，对公司的运维管理目标进行了认真的评议，全面的总结了公司运维能力体系的运行情况，肯定了2025年质量管理体系运行的适宜性、有效性。通过这次管理评审，总结了经验，将更有力的推动公司持续发展。</w:t>
      </w:r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</w:p>
    <w:p>
      <w:pPr>
        <w:spacing w:before="64" w:line="220" w:lineRule="auto"/>
        <w:ind w:left="22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评审人：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张琳</w:t>
      </w:r>
      <w:r>
        <w:rPr>
          <w:rFonts w:ascii="宋体" w:eastAsia="宋体" w:hAnsi="宋体" w:cs="宋体"/>
          <w:spacing w:val="-1"/>
          <w:sz w:val="24"/>
          <w:szCs w:val="24"/>
        </w:rPr>
        <w:t xml:space="preserve">                                审核人：吴向阳</w:t>
      </w:r>
    </w:p>
    <w:p>
      <w:pPr>
        <w:spacing w:before="64" w:line="220" w:lineRule="auto"/>
        <w:ind w:left="22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时间： 2025年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10</w:t>
      </w:r>
      <w:r>
        <w:rPr>
          <w:rFonts w:ascii="宋体" w:eastAsia="宋体" w:hAnsi="宋体" w:cs="宋体"/>
          <w:spacing w:val="-1"/>
          <w:sz w:val="24"/>
          <w:szCs w:val="24"/>
        </w:rPr>
        <w:t>月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20</w:t>
      </w:r>
      <w:r>
        <w:rPr>
          <w:rFonts w:ascii="宋体" w:eastAsia="宋体" w:hAnsi="宋体" w:cs="宋体"/>
          <w:spacing w:val="-1"/>
          <w:sz w:val="24"/>
          <w:szCs w:val="24"/>
        </w:rPr>
        <w:t xml:space="preserve">日             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 xml:space="preserve">     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 xml:space="preserve">     </w:t>
      </w:r>
      <w:r>
        <w:rPr>
          <w:rFonts w:ascii="宋体" w:eastAsia="宋体" w:hAnsi="宋体" w:cs="宋体"/>
          <w:spacing w:val="-1"/>
          <w:sz w:val="24"/>
          <w:szCs w:val="24"/>
        </w:rPr>
        <w:t>时间： 2025年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10</w:t>
      </w:r>
      <w:r>
        <w:rPr>
          <w:rFonts w:ascii="宋体" w:eastAsia="宋体" w:hAnsi="宋体" w:cs="宋体"/>
          <w:spacing w:val="-1"/>
          <w:sz w:val="24"/>
          <w:szCs w:val="24"/>
        </w:rPr>
        <w:t>月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2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0</w:t>
      </w:r>
      <w:r>
        <w:rPr>
          <w:rFonts w:ascii="宋体" w:eastAsia="宋体" w:hAnsi="宋体" w:cs="宋体"/>
          <w:spacing w:val="-1"/>
          <w:sz w:val="24"/>
          <w:szCs w:val="24"/>
        </w:rPr>
        <w:t>日</w:t>
      </w:r>
    </w:p>
    <w:sectPr>
      <w:footerReference w:type="default" r:id="rId10"/>
      <w:pgSz w:w="11906" w:h="16839"/>
      <w:pgMar w:top="1040" w:right="1785" w:bottom="686" w:left="1785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63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3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208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52" w:lineRule="auto"/>
      <w:rPr>
        <w:sz w:val="2"/>
      </w:rPr>
    </w:pPr>
    <w:r>
      <w:pict>
        <v:shape id="_x0000_s4097" o:spid="_x0000_s2049" style="height:0.75pt;margin-left:83.6pt;margin-top:54.5pt;mso-height-relative:page;mso-position-horizontal-relative:page;mso-position-vertical-relative:page;mso-width-relative:page;position:absolute;width:428.15pt;z-index:251658240" coordsize="8562,15" o:allowincell="f" path="m,7l8562,7e" filled="f" stroked="t">
          <v:stroke joinstyle="miter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A5017F"/>
    <w:multiLevelType w:val="singleLevel"/>
    <w:tmpl w:val="A4A5017F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1AD539FE"/>
    <w:multiLevelType w:val="singleLevel"/>
    <w:tmpl w:val="1AD539FE"/>
    <w:lvl w:ilvl="0">
      <w:start w:val="1"/>
      <w:numFmt w:val="decimal"/>
      <w:lvlText w:val="(%1)"/>
      <w:lvlJc w:val="left"/>
      <w:pPr>
        <w:ind w:left="635" w:hanging="425"/>
      </w:pPr>
      <w:rPr>
        <w:rFonts w:hint="default"/>
      </w:rPr>
    </w:lvl>
  </w:abstractNum>
  <w:abstractNum w:abstractNumId="3">
    <w:nsid w:val="7993E6FD"/>
    <w:multiLevelType w:val="singleLevel"/>
    <w:tmpl w:val="7993E6FD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4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header" Target="header2.xml" /><Relationship Id="rId8" Type="http://schemas.openxmlformats.org/officeDocument/2006/relationships/footer" Target="footer2.xml" /><Relationship Id="rId9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Pages>6</Pages>
  <Words>1471</Words>
  <Characters>1622</Characters>
  <Application>Microsoft Office Word</Application>
  <DocSecurity>0</DocSecurity>
  <Lines>0</Lines>
  <Paragraphs>0</Paragraphs>
  <ScaleCrop>false</ScaleCrop>
  <Company/>
  <LinksUpToDate>false</LinksUpToDate>
  <CharactersWithSpaces>1763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2025-08-17T00:51:00Z</dcterms:created>
  <dcterms:modified xsi:type="dcterms:W3CDTF">2026-01-07T21:43:14Z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2025-08-21T01:03:30Z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6AE8547ADC404C168D85BE2DE8C41801_12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