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676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服务级别管理程序</w:t>
      </w:r>
      <w:bookmarkEnd w:id="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22990"/>
      <w:r>
        <w:t>中达丰集团有限公司</w:t>
      </w:r>
      <w:bookmarkEnd w:id="1"/>
    </w:p>
    <w:p>
      <w:pPr>
        <w:keepNext w:val="0"/>
        <w:keepLines w:val="0"/>
        <w:pageBreakBefore w:val="0"/>
        <w:widowControl w:val="0"/>
        <w:kinsoku w:val="0"/>
        <w:wordWrap/>
        <w:overflowPunct/>
        <w:topLinePunct w:val="0"/>
        <w:autoSpaceDE w:val="0"/>
        <w:autoSpaceDN w:val="0"/>
        <w:bidi w:val="0"/>
        <w:adjustRightInd w:val="0"/>
        <w:snapToGrid w:val="0"/>
        <w:spacing w:before="275"/>
        <w:ind w:left="3285"/>
        <w:textAlignment w:val="baseline"/>
        <w:rPr>
          <w:rFonts w:ascii="宋体" w:eastAsia="宋体" w:hAnsi="宋体" w:cs="宋体"/>
          <w:sz w:val="36"/>
          <w:szCs w:val="36"/>
        </w:rPr>
      </w:pPr>
      <w:r>
        <w:rPr>
          <w:rFonts w:ascii="宋体" w:eastAsia="宋体" w:hAnsi="宋体" w:cs="宋体"/>
          <w:spacing w:val="-2"/>
          <w:sz w:val="36"/>
          <w:szCs w:val="36"/>
        </w:rPr>
        <w:t>2025-01-04</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z w:val="36"/>
          <w:szCs w:val="36"/>
        </w:rPr>
        <w:sectPr>
          <w:pgSz w:w="11906" w:h="16839"/>
          <w:pgMar w:top="1431" w:right="1785" w:bottom="0" w:left="1785" w:header="0" w:footer="0" w:gutter="0"/>
          <w:cols w:num="1" w:space="720"/>
        </w:sectPr>
      </w:pPr>
    </w:p>
    <w:p>
      <w:pPr>
        <w:pStyle w:val="BodyText"/>
        <w:keepNext w:val="0"/>
        <w:keepLines w:val="0"/>
        <w:pageBreakBefore w:val="0"/>
        <w:widowControl w:val="0"/>
        <w:kinsoku w:val="0"/>
        <w:wordWrap/>
        <w:overflowPunct/>
        <w:topLinePunct w:val="0"/>
        <w:autoSpaceDE w:val="0"/>
        <w:autoSpaceDN w:val="0"/>
        <w:bidi w:val="0"/>
        <w:adjustRightInd w:val="0"/>
        <w:snapToGrid w:val="0"/>
        <w:spacing w:line="258"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954"/>
        <w:textAlignment w:val="baseline"/>
        <w:outlineLvl w:val="0"/>
        <w:rPr>
          <w:rFonts w:ascii="宋体" w:eastAsia="宋体" w:hAnsi="宋体" w:cs="宋体"/>
          <w:sz w:val="21"/>
          <w:szCs w:val="21"/>
        </w:rPr>
      </w:pPr>
      <w:bookmarkStart w:id="2" w:name="_Toc9955"/>
      <w:r>
        <w:rPr>
          <w:rFonts w:ascii="宋体" w:eastAsia="宋体" w:hAnsi="宋体" w:cs="宋体"/>
          <w:spacing w:val="-2"/>
          <w:sz w:val="21"/>
          <w:szCs w:val="21"/>
        </w:rPr>
        <w:t>文档信息</w:t>
      </w:r>
      <w:bookmarkEnd w:id="2"/>
    </w:p>
    <w:p>
      <w:pPr>
        <w:keepNext w:val="0"/>
        <w:keepLines w:val="0"/>
        <w:pageBreakBefore w:val="0"/>
        <w:widowControl w:val="0"/>
        <w:kinsoku w:val="0"/>
        <w:wordWrap/>
        <w:overflowPunct/>
        <w:topLinePunct w:val="0"/>
        <w:autoSpaceDE w:val="0"/>
        <w:autoSpaceDN w:val="0"/>
        <w:bidi w:val="0"/>
        <w:adjustRightInd w:val="0"/>
        <w:snapToGrid w:val="0"/>
        <w:spacing w:line="16" w:lineRule="exact"/>
        <w:textAlignment w:val="baseline"/>
      </w:pPr>
    </w:p>
    <w:tbl>
      <w:tblPr>
        <w:tblStyle w:val="TableNormal0"/>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704"/>
        <w:gridCol w:w="1555"/>
        <w:gridCol w:w="2302"/>
        <w:gridCol w:w="1557"/>
        <w:gridCol w:w="1953"/>
      </w:tblGrid>
      <w:tr>
        <w:tblPrEx>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704"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25"/>
              <w:textAlignment w:val="baseline"/>
              <w:rPr>
                <w:rFonts w:ascii="宋体" w:eastAsia="宋体" w:hAnsi="宋体" w:cs="宋体"/>
                <w:sz w:val="21"/>
                <w:szCs w:val="21"/>
              </w:rPr>
            </w:pPr>
            <w:r>
              <w:rPr>
                <w:rFonts w:ascii="宋体" w:eastAsia="宋体" w:hAnsi="宋体" w:cs="宋体"/>
                <w:spacing w:val="-2"/>
                <w:sz w:val="21"/>
                <w:szCs w:val="21"/>
              </w:rPr>
              <w:t>文档名称编号</w:t>
            </w:r>
          </w:p>
        </w:tc>
        <w:tc>
          <w:tcPr>
            <w:tcW w:w="7367"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rPr>
                <w:rFonts w:ascii="宋体" w:eastAsia="宋体" w:hAnsi="宋体" w:cs="宋体"/>
                <w:sz w:val="21"/>
                <w:szCs w:val="21"/>
              </w:rPr>
            </w:pPr>
            <w:r>
              <w:rPr>
                <w:rFonts w:ascii="宋体" w:eastAsia="宋体" w:hAnsi="宋体" w:cs="宋体"/>
                <w:spacing w:val="-1"/>
                <w:sz w:val="21"/>
                <w:szCs w:val="21"/>
              </w:rPr>
              <w:t>服务级别管理程序（ZDFJT-ITSS-FWJBGL）</w:t>
            </w:r>
          </w:p>
        </w:tc>
      </w:tr>
      <w:tr>
        <w:tblPrEx>
          <w:tblW w:w="9071" w:type="dxa"/>
          <w:tblInd w:w="5" w:type="dxa"/>
          <w:tblLayout w:type="fixed"/>
          <w:tblCellMar>
            <w:top w:w="0" w:type="dxa"/>
            <w:left w:w="0" w:type="dxa"/>
            <w:bottom w:w="0" w:type="dxa"/>
            <w:right w:w="0" w:type="dxa"/>
          </w:tblCellMar>
        </w:tblPrEx>
        <w:trPr>
          <w:trHeight w:val="606"/>
        </w:trPr>
        <w:tc>
          <w:tcPr>
            <w:tcW w:w="1704" w:type="dxa"/>
          </w:tcPr>
          <w:p>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435"/>
              <w:textAlignment w:val="baseline"/>
              <w:rPr>
                <w:rFonts w:ascii="宋体" w:eastAsia="宋体" w:hAnsi="宋体" w:cs="宋体"/>
                <w:sz w:val="21"/>
                <w:szCs w:val="21"/>
              </w:rPr>
            </w:pPr>
            <w:r>
              <w:rPr>
                <w:rFonts w:ascii="宋体" w:eastAsia="宋体" w:hAnsi="宋体" w:cs="宋体"/>
                <w:spacing w:val="-2"/>
                <w:sz w:val="21"/>
                <w:szCs w:val="21"/>
              </w:rPr>
              <w:t>编制单位</w:t>
            </w:r>
          </w:p>
        </w:tc>
        <w:tc>
          <w:tcPr>
            <w:tcW w:w="7367"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rPr>
                <w:rFonts w:ascii="宋体" w:eastAsia="宋体" w:hAnsi="宋体" w:cs="宋体"/>
                <w:sz w:val="21"/>
                <w:szCs w:val="21"/>
              </w:rPr>
            </w:pPr>
            <w:r>
              <w:rPr>
                <w:rFonts w:ascii="宋体" w:eastAsia="宋体" w:hAnsi="宋体" w:cs="宋体"/>
                <w:spacing w:val="-1"/>
                <w:sz w:val="21"/>
                <w:szCs w:val="21"/>
              </w:rPr>
              <w:t>中达丰集团有限公司</w:t>
            </w:r>
          </w:p>
        </w:tc>
      </w:tr>
      <w:tr>
        <w:tblPrEx>
          <w:tblW w:w="9071" w:type="dxa"/>
          <w:tblInd w:w="5" w:type="dxa"/>
          <w:tblLayout w:type="fixed"/>
          <w:tblCellMar>
            <w:top w:w="0" w:type="dxa"/>
            <w:left w:w="0" w:type="dxa"/>
            <w:bottom w:w="0" w:type="dxa"/>
            <w:right w:w="0" w:type="dxa"/>
          </w:tblCellMar>
        </w:tblPrEx>
        <w:trPr>
          <w:trHeight w:val="607"/>
        </w:trPr>
        <w:tc>
          <w:tcPr>
            <w:tcW w:w="1704"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5"/>
              <w:textAlignment w:val="baseline"/>
              <w:rPr>
                <w:rFonts w:ascii="宋体" w:eastAsia="宋体" w:hAnsi="宋体" w:cs="宋体"/>
                <w:sz w:val="21"/>
                <w:szCs w:val="21"/>
              </w:rPr>
            </w:pPr>
            <w:r>
              <w:rPr>
                <w:rFonts w:ascii="宋体" w:eastAsia="宋体" w:hAnsi="宋体" w:cs="宋体"/>
                <w:spacing w:val="-2"/>
                <w:sz w:val="21"/>
                <w:szCs w:val="21"/>
              </w:rPr>
              <w:t>文档版本</w:t>
            </w:r>
          </w:p>
        </w:tc>
        <w:tc>
          <w:tcPr>
            <w:tcW w:w="1555"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359"/>
              <w:textAlignment w:val="baseline"/>
              <w:rPr>
                <w:rFonts w:ascii="宋体" w:eastAsia="宋体" w:hAnsi="宋体" w:cs="宋体"/>
                <w:sz w:val="21"/>
                <w:szCs w:val="21"/>
              </w:rPr>
            </w:pPr>
            <w:r>
              <w:rPr>
                <w:rFonts w:ascii="宋体" w:eastAsia="宋体" w:hAnsi="宋体" w:cs="宋体"/>
                <w:spacing w:val="-2"/>
                <w:sz w:val="21"/>
                <w:szCs w:val="21"/>
              </w:rPr>
              <w:t>版本日期</w:t>
            </w: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rPr>
                <w:rFonts w:ascii="宋体" w:eastAsia="宋体" w:hAnsi="宋体" w:cs="宋体"/>
                <w:sz w:val="21"/>
                <w:szCs w:val="21"/>
              </w:rPr>
            </w:pPr>
            <w:r>
              <w:rPr>
                <w:rFonts w:ascii="宋体" w:eastAsia="宋体" w:hAnsi="宋体" w:cs="宋体"/>
                <w:spacing w:val="-2"/>
                <w:sz w:val="21"/>
                <w:szCs w:val="21"/>
              </w:rPr>
              <w:t>版本说明</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rPr>
                <w:rFonts w:ascii="宋体" w:eastAsia="宋体" w:hAnsi="宋体" w:cs="宋体"/>
                <w:sz w:val="21"/>
                <w:szCs w:val="21"/>
              </w:rPr>
            </w:pPr>
            <w:r>
              <w:rPr>
                <w:rFonts w:ascii="宋体" w:eastAsia="宋体" w:hAnsi="宋体" w:cs="宋体"/>
                <w:spacing w:val="-3"/>
                <w:sz w:val="21"/>
                <w:szCs w:val="21"/>
              </w:rPr>
              <w:t>作者</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rPr>
                <w:rFonts w:ascii="宋体" w:eastAsia="宋体" w:hAnsi="宋体" w:cs="宋体"/>
                <w:sz w:val="21"/>
                <w:szCs w:val="21"/>
              </w:rPr>
            </w:pPr>
            <w:r>
              <w:rPr>
                <w:rFonts w:ascii="宋体" w:eastAsia="宋体" w:hAnsi="宋体" w:cs="宋体"/>
                <w:spacing w:val="-5"/>
                <w:sz w:val="21"/>
                <w:szCs w:val="21"/>
              </w:rPr>
              <w:t>审核</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638"/>
              <w:textAlignment w:val="baseline"/>
              <w:rPr>
                <w:rFonts w:ascii="宋体" w:eastAsia="宋体" w:hAnsi="宋体" w:cs="宋体"/>
                <w:sz w:val="21"/>
                <w:szCs w:val="21"/>
              </w:rPr>
            </w:pPr>
            <w:r>
              <w:rPr>
                <w:rFonts w:ascii="宋体" w:eastAsia="宋体" w:hAnsi="宋体" w:cs="宋体"/>
                <w:spacing w:val="-1"/>
                <w:sz w:val="21"/>
                <w:szCs w:val="21"/>
              </w:rPr>
              <w:t>V1.0</w:t>
            </w:r>
          </w:p>
        </w:tc>
        <w:tc>
          <w:tcPr>
            <w:tcW w:w="1555" w:type="dxa"/>
          </w:tcPr>
          <w:p>
            <w:pPr>
              <w:keepNext w:val="0"/>
              <w:keepLines w:val="0"/>
              <w:pageBreakBefore w:val="0"/>
              <w:widowControl w:val="0"/>
              <w:kinsoku w:val="0"/>
              <w:wordWrap/>
              <w:overflowPunct/>
              <w:topLinePunct w:val="0"/>
              <w:autoSpaceDE w:val="0"/>
              <w:autoSpaceDN w:val="0"/>
              <w:bidi w:val="0"/>
              <w:adjustRightInd w:val="0"/>
              <w:snapToGrid w:val="0"/>
              <w:spacing w:before="163"/>
              <w:ind w:left="361"/>
              <w:textAlignment w:val="baseline"/>
              <w:rPr>
                <w:rFonts w:ascii="宋体" w:eastAsia="宋体" w:hAnsi="宋体" w:cs="宋体"/>
                <w:sz w:val="21"/>
                <w:szCs w:val="21"/>
              </w:rPr>
            </w:pPr>
            <w:r>
              <w:rPr>
                <w:rFonts w:ascii="宋体" w:eastAsia="宋体" w:hAnsi="宋体" w:cs="宋体"/>
                <w:spacing w:val="-2"/>
                <w:sz w:val="21"/>
                <w:szCs w:val="21"/>
              </w:rPr>
              <w:t>2025-7-4</w:t>
            </w: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738"/>
              <w:textAlignment w:val="baseline"/>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480"/>
              <w:textAlignment w:val="baseline"/>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肖龙莽</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2"/>
              <w:textAlignment w:val="baseline"/>
              <w:rPr>
                <w:rFonts w:ascii="宋体" w:eastAsia="宋体" w:hAnsi="宋体" w:cs="宋体"/>
                <w:sz w:val="21"/>
                <w:szCs w:val="21"/>
              </w:rPr>
            </w:pPr>
            <w:r>
              <w:rPr>
                <w:rFonts w:ascii="宋体" w:eastAsia="宋体" w:hAnsi="宋体" w:cs="宋体"/>
                <w:spacing w:val="-3"/>
                <w:sz w:val="21"/>
                <w:szCs w:val="21"/>
              </w:rPr>
              <w:t>吴向阳</w:t>
            </w: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5" w:type="dxa"/>
          <w:tblLayout w:type="fixed"/>
          <w:tblCellMar>
            <w:top w:w="0" w:type="dxa"/>
            <w:left w:w="0" w:type="dxa"/>
            <w:bottom w:w="0" w:type="dxa"/>
            <w:right w:w="0" w:type="dxa"/>
          </w:tblCellMar>
        </w:tblPrEx>
        <w:trPr>
          <w:trHeight w:val="474"/>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1" w:type="dxa"/>
          <w:tblInd w:w="5" w:type="dxa"/>
          <w:tblLayout w:type="fixed"/>
          <w:tblCellMar>
            <w:top w:w="0" w:type="dxa"/>
            <w:left w:w="0" w:type="dxa"/>
            <w:bottom w:w="0" w:type="dxa"/>
            <w:right w:w="0" w:type="dxa"/>
          </w:tblCellMar>
        </w:tblPrEx>
        <w:trPr>
          <w:trHeight w:val="589"/>
        </w:trPr>
        <w:tc>
          <w:tcPr>
            <w:tcW w:w="1704"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5"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sectPr>
          <w:pgSz w:w="11906" w:h="16839"/>
          <w:pgMar w:top="1431" w:right="1236" w:bottom="0" w:left="1588" w:header="0" w:footer="0" w:gutter="0"/>
          <w:cols w:num="1" w:space="720"/>
        </w:sectPr>
      </w:pPr>
    </w:p>
    <w:p>
      <w:pPr>
        <w:pStyle w:val="BodyText"/>
        <w:keepNext w:val="0"/>
        <w:keepLines w:val="0"/>
        <w:pageBreakBefore w:val="0"/>
        <w:widowControl w:val="0"/>
        <w:kinsoku w:val="0"/>
        <w:wordWrap/>
        <w:overflowPunct/>
        <w:topLinePunct w:val="0"/>
        <w:autoSpaceDE w:val="0"/>
        <w:autoSpaceDN w:val="0"/>
        <w:bidi w:val="0"/>
        <w:adjustRightInd w:val="0"/>
        <w:snapToGrid w:val="0"/>
        <w:spacing w:line="364" w:lineRule="auto"/>
        <w:textAlignment w:val="baseline"/>
      </w:pPr>
    </w:p>
    <w:sdt>
      <w:sdtPr>
        <w:rPr>
          <w:rFonts w:ascii="宋体" w:eastAsia="宋体" w:hAnsi="宋体" w:cs="Arial"/>
          <w:snapToGrid w:val="0"/>
          <w:color w:val="000000"/>
          <w:kern w:val="0"/>
          <w:sz w:val="21"/>
          <w:szCs w:val="21"/>
          <w:lang w:val="en-US" w:eastAsia="en-US" w:bidi="ar-SA"/>
        </w:rPr>
        <w:id w:val="147480924"/>
        <w:docPartObj>
          <w:docPartGallery w:val="Table of Contents"/>
          <w:docPartUnique/>
        </w:docPartObj>
      </w:sdtPr>
      <w:sdtEndPr>
        <w:rPr>
          <w:rFonts w:ascii="Microsoft JhengHei" w:eastAsia="Microsoft JhengHei" w:hAnsi="Microsoft JhengHei" w:cs="Microsoft JhengHei"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468"/>
            </w:tabs>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TOC \o "1-3" \h \u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_Toc6763 </w:instrText>
          </w:r>
          <w:r>
            <w:rPr>
              <w:rFonts w:ascii="Microsoft JhengHei" w:eastAsia="Microsoft JhengHei" w:hAnsi="Microsoft JhengHei" w:cs="Microsoft JhengHei" w:hint="eastAsia"/>
              <w:szCs w:val="24"/>
            </w:rPr>
            <w:fldChar w:fldCharType="separate"/>
          </w:r>
          <w:r>
            <w:t>服务级别管理程序</w:t>
          </w:r>
          <w:r>
            <w:tab/>
          </w:r>
          <w:r>
            <w:fldChar w:fldCharType="begin"/>
          </w:r>
          <w:r>
            <w:instrText xml:space="preserve"> PAGEREF _Toc6763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_Toc22990 </w:instrText>
          </w:r>
          <w:r>
            <w:rPr>
              <w:rFonts w:ascii="Microsoft JhengHei" w:eastAsia="Microsoft JhengHei" w:hAnsi="Microsoft JhengHei" w:cs="Microsoft JhengHei" w:hint="eastAsia"/>
              <w:szCs w:val="24"/>
            </w:rPr>
            <w:fldChar w:fldCharType="separate"/>
          </w:r>
          <w:r>
            <w:t>中达丰集团有限公司</w:t>
          </w:r>
          <w:r>
            <w:tab/>
          </w:r>
          <w:r>
            <w:fldChar w:fldCharType="begin"/>
          </w:r>
          <w:r>
            <w:instrText xml:space="preserve"> PAGEREF _Toc22990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_Toc9955 </w:instrText>
          </w:r>
          <w:r>
            <w:rPr>
              <w:rFonts w:ascii="Microsoft JhengHei" w:eastAsia="Microsoft JhengHei" w:hAnsi="Microsoft JhengHei" w:cs="Microsoft JhengHei" w:hint="eastAsia"/>
              <w:szCs w:val="24"/>
            </w:rPr>
            <w:fldChar w:fldCharType="separate"/>
          </w:r>
          <w:r>
            <w:rPr>
              <w:rFonts w:ascii="宋体" w:eastAsia="宋体" w:hAnsi="宋体" w:cs="宋体"/>
              <w:spacing w:val="-2"/>
              <w:szCs w:val="21"/>
            </w:rPr>
            <w:t>文档信息</w:t>
          </w:r>
          <w:r>
            <w:tab/>
          </w:r>
          <w:r>
            <w:fldChar w:fldCharType="begin"/>
          </w:r>
          <w:r>
            <w:instrText xml:space="preserve"> PAGEREF _Toc9955 \h </w:instrText>
          </w:r>
          <w:r>
            <w:fldChar w:fldCharType="separate"/>
          </w:r>
          <w:r>
            <w:t>2</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_Toc1624 </w:instrText>
          </w:r>
          <w:r>
            <w:rPr>
              <w:rFonts w:ascii="Microsoft JhengHei" w:eastAsia="Microsoft JhengHei" w:hAnsi="Microsoft JhengHei" w:cs="Microsoft JhengHei" w:hint="eastAsia"/>
              <w:szCs w:val="24"/>
            </w:rPr>
            <w:fldChar w:fldCharType="separate"/>
          </w:r>
          <w:r>
            <w:rPr>
              <w:rFonts w:hint="default"/>
            </w:rPr>
            <w:t xml:space="preserve">1. </w:t>
          </w:r>
          <w:r>
            <w:t>目的</w:t>
          </w:r>
          <w:r>
            <w:tab/>
          </w:r>
          <w:r>
            <w:fldChar w:fldCharType="begin"/>
          </w:r>
          <w:r>
            <w:instrText xml:space="preserve"> PAGEREF _Toc1624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_Toc6803 </w:instrText>
          </w:r>
          <w:r>
            <w:rPr>
              <w:rFonts w:ascii="Microsoft JhengHei" w:eastAsia="Microsoft JhengHei" w:hAnsi="Microsoft JhengHei" w:cs="Microsoft JhengHei" w:hint="eastAsia"/>
              <w:szCs w:val="24"/>
            </w:rPr>
            <w:fldChar w:fldCharType="separate"/>
          </w:r>
          <w:r>
            <w:rPr>
              <w:rFonts w:hint="default"/>
            </w:rPr>
            <w:t xml:space="preserve">2. </w:t>
          </w:r>
          <w:r>
            <w:t>适用范围</w:t>
          </w:r>
          <w:r>
            <w:tab/>
          </w:r>
          <w:r>
            <w:fldChar w:fldCharType="begin"/>
          </w:r>
          <w:r>
            <w:instrText xml:space="preserve"> PAGEREF _Toc6803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_Toc29187 </w:instrText>
          </w:r>
          <w:r>
            <w:rPr>
              <w:rFonts w:ascii="Microsoft JhengHei" w:eastAsia="Microsoft JhengHei" w:hAnsi="Microsoft JhengHei" w:cs="Microsoft JhengHei" w:hint="eastAsia"/>
              <w:szCs w:val="24"/>
            </w:rPr>
            <w:fldChar w:fldCharType="separate"/>
          </w:r>
          <w:r>
            <w:rPr>
              <w:rFonts w:hint="default"/>
            </w:rPr>
            <w:t xml:space="preserve">3. </w:t>
          </w:r>
          <w:r>
            <w:t>术语、缩略词和定义</w:t>
          </w:r>
          <w:r>
            <w:tab/>
          </w:r>
          <w:r>
            <w:fldChar w:fldCharType="begin"/>
          </w:r>
          <w:r>
            <w:instrText xml:space="preserve"> PAGEREF _Toc29187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_Toc27519 </w:instrText>
          </w:r>
          <w:r>
            <w:rPr>
              <w:rFonts w:ascii="Microsoft JhengHei" w:eastAsia="Microsoft JhengHei" w:hAnsi="Microsoft JhengHei" w:cs="Microsoft JhengHei" w:hint="eastAsia"/>
              <w:szCs w:val="24"/>
            </w:rPr>
            <w:fldChar w:fldCharType="separate"/>
          </w:r>
          <w:r>
            <w:rPr>
              <w:rFonts w:hint="default"/>
            </w:rPr>
            <w:t xml:space="preserve">4. </w:t>
          </w:r>
          <w:r>
            <w:t>角色与职责</w:t>
          </w:r>
          <w:r>
            <w:tab/>
          </w:r>
          <w:r>
            <w:fldChar w:fldCharType="begin"/>
          </w:r>
          <w:r>
            <w:instrText xml:space="preserve"> PAGEREF _Toc27519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_Toc2838 </w:instrText>
          </w:r>
          <w:r>
            <w:rPr>
              <w:rFonts w:ascii="Microsoft JhengHei" w:eastAsia="Microsoft JhengHei" w:hAnsi="Microsoft JhengHei" w:cs="Microsoft JhengHei" w:hint="eastAsia"/>
              <w:szCs w:val="24"/>
            </w:rPr>
            <w:fldChar w:fldCharType="separate"/>
          </w:r>
          <w:r>
            <w:rPr>
              <w:rFonts w:hint="default"/>
            </w:rPr>
            <w:t xml:space="preserve">5. </w:t>
          </w:r>
          <w:r>
            <w:t>服务级别管理流程</w:t>
          </w:r>
          <w:r>
            <w:tab/>
          </w:r>
          <w:r>
            <w:fldChar w:fldCharType="begin"/>
          </w:r>
          <w:r>
            <w:instrText xml:space="preserve"> PAGEREF _Toc2838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_Toc9695 </w:instrText>
          </w:r>
          <w:r>
            <w:rPr>
              <w:rFonts w:ascii="Microsoft JhengHei" w:eastAsia="Microsoft JhengHei" w:hAnsi="Microsoft JhengHei" w:cs="Microsoft JhengHei" w:hint="eastAsia"/>
              <w:szCs w:val="24"/>
            </w:rPr>
            <w:fldChar w:fldCharType="separate"/>
          </w:r>
          <w:r>
            <w:rPr>
              <w:rFonts w:hint="default"/>
            </w:rPr>
            <w:t xml:space="preserve">5.1. </w:t>
          </w:r>
          <w:r>
            <w:t>流程原则</w:t>
          </w:r>
          <w:r>
            <w:tab/>
          </w:r>
          <w:r>
            <w:fldChar w:fldCharType="begin"/>
          </w:r>
          <w:r>
            <w:instrText xml:space="preserve"> PAGEREF _Toc9695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_Toc20429 </w:instrText>
          </w:r>
          <w:r>
            <w:rPr>
              <w:rFonts w:ascii="Microsoft JhengHei" w:eastAsia="Microsoft JhengHei" w:hAnsi="Microsoft JhengHei" w:cs="Microsoft JhengHei" w:hint="eastAsia"/>
              <w:szCs w:val="24"/>
            </w:rPr>
            <w:fldChar w:fldCharType="separate"/>
          </w:r>
          <w:r>
            <w:rPr>
              <w:rFonts w:hint="default"/>
            </w:rPr>
            <w:t xml:space="preserve">5.1.1. </w:t>
          </w:r>
          <w:r>
            <w:t>流程触发条件</w:t>
          </w:r>
          <w:r>
            <w:tab/>
          </w:r>
          <w:r>
            <w:fldChar w:fldCharType="begin"/>
          </w:r>
          <w:r>
            <w:instrText xml:space="preserve"> PAGEREF _Toc20429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_Toc28248 </w:instrText>
          </w:r>
          <w:r>
            <w:rPr>
              <w:rFonts w:ascii="Microsoft JhengHei" w:eastAsia="Microsoft JhengHei" w:hAnsi="Microsoft JhengHei" w:cs="Microsoft JhengHei" w:hint="eastAsia"/>
              <w:szCs w:val="24"/>
            </w:rPr>
            <w:fldChar w:fldCharType="separate"/>
          </w:r>
          <w:r>
            <w:rPr>
              <w:rFonts w:hint="default"/>
            </w:rPr>
            <w:t xml:space="preserve">5.1.2. </w:t>
          </w:r>
          <w:r>
            <w:t>流程输入</w:t>
          </w:r>
          <w:r>
            <w:tab/>
          </w:r>
          <w:r>
            <w:fldChar w:fldCharType="begin"/>
          </w:r>
          <w:r>
            <w:instrText xml:space="preserve"> PAGEREF _Toc28248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_Toc23592 </w:instrText>
          </w:r>
          <w:r>
            <w:rPr>
              <w:rFonts w:ascii="Microsoft JhengHei" w:eastAsia="Microsoft JhengHei" w:hAnsi="Microsoft JhengHei" w:cs="Microsoft JhengHei" w:hint="eastAsia"/>
              <w:szCs w:val="24"/>
            </w:rPr>
            <w:fldChar w:fldCharType="separate"/>
          </w:r>
          <w:r>
            <w:rPr>
              <w:rFonts w:hint="default"/>
            </w:rPr>
            <w:t xml:space="preserve">5.1.3. </w:t>
          </w:r>
          <w:r>
            <w:t>流程输出</w:t>
          </w:r>
          <w:r>
            <w:tab/>
          </w:r>
          <w:r>
            <w:fldChar w:fldCharType="begin"/>
          </w:r>
          <w:r>
            <w:instrText xml:space="preserve"> PAGEREF _Toc23592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_Toc6930 </w:instrText>
          </w:r>
          <w:r>
            <w:rPr>
              <w:rFonts w:ascii="Microsoft JhengHei" w:eastAsia="Microsoft JhengHei" w:hAnsi="Microsoft JhengHei" w:cs="Microsoft JhengHei" w:hint="eastAsia"/>
              <w:szCs w:val="24"/>
            </w:rPr>
            <w:fldChar w:fldCharType="separate"/>
          </w:r>
          <w:r>
            <w:rPr>
              <w:rFonts w:hint="default"/>
            </w:rPr>
            <w:t xml:space="preserve">5.2. </w:t>
          </w:r>
          <w:r>
            <w:t>服务级别管理流程图</w:t>
          </w:r>
          <w:r>
            <w:tab/>
          </w:r>
          <w:r>
            <w:fldChar w:fldCharType="begin"/>
          </w:r>
          <w:r>
            <w:instrText xml:space="preserve"> PAGEREF _Toc6930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_Toc22321 </w:instrText>
          </w:r>
          <w:r>
            <w:rPr>
              <w:rFonts w:ascii="Microsoft JhengHei" w:eastAsia="Microsoft JhengHei" w:hAnsi="Microsoft JhengHei" w:cs="Microsoft JhengHei" w:hint="eastAsia"/>
              <w:szCs w:val="24"/>
            </w:rPr>
            <w:fldChar w:fldCharType="separate"/>
          </w:r>
          <w:r>
            <w:rPr>
              <w:rFonts w:hint="default"/>
            </w:rPr>
            <w:t xml:space="preserve">5.3. </w:t>
          </w:r>
          <w:r>
            <w:t>活动说明</w:t>
          </w:r>
          <w:r>
            <w:tab/>
          </w:r>
          <w:r>
            <w:fldChar w:fldCharType="begin"/>
          </w:r>
          <w:r>
            <w:instrText xml:space="preserve"> PAGEREF _Toc22321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_Toc17007 </w:instrText>
          </w:r>
          <w:r>
            <w:rPr>
              <w:rFonts w:ascii="Microsoft JhengHei" w:eastAsia="Microsoft JhengHei" w:hAnsi="Microsoft JhengHei" w:cs="Microsoft JhengHei" w:hint="eastAsia"/>
              <w:szCs w:val="24"/>
            </w:rPr>
            <w:fldChar w:fldCharType="separate"/>
          </w:r>
          <w:r>
            <w:rPr>
              <w:rFonts w:hint="default"/>
            </w:rPr>
            <w:t xml:space="preserve">5.3.1. </w:t>
          </w:r>
          <w:r>
            <w:t>识别客户需求</w:t>
          </w:r>
          <w:r>
            <w:tab/>
          </w:r>
          <w:r>
            <w:fldChar w:fldCharType="begin"/>
          </w:r>
          <w:r>
            <w:instrText xml:space="preserve"> PAGEREF _Toc17007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_Toc17240 </w:instrText>
          </w:r>
          <w:r>
            <w:rPr>
              <w:rFonts w:ascii="Microsoft JhengHei" w:eastAsia="Microsoft JhengHei" w:hAnsi="Microsoft JhengHei" w:cs="Microsoft JhengHei" w:hint="eastAsia"/>
              <w:szCs w:val="24"/>
            </w:rPr>
            <w:fldChar w:fldCharType="separate"/>
          </w:r>
          <w:r>
            <w:rPr>
              <w:rFonts w:hint="default"/>
            </w:rPr>
            <w:t xml:space="preserve">5.3.2. </w:t>
          </w:r>
          <w:r>
            <w:t>定义服务级别</w:t>
          </w:r>
          <w:r>
            <w:tab/>
          </w:r>
          <w:r>
            <w:fldChar w:fldCharType="begin"/>
          </w:r>
          <w:r>
            <w:instrText xml:space="preserve"> PAGEREF _Toc17240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_Toc21603 </w:instrText>
          </w:r>
          <w:r>
            <w:rPr>
              <w:rFonts w:ascii="Microsoft JhengHei" w:eastAsia="Microsoft JhengHei" w:hAnsi="Microsoft JhengHei" w:cs="Microsoft JhengHei" w:hint="eastAsia"/>
              <w:szCs w:val="24"/>
            </w:rPr>
            <w:fldChar w:fldCharType="separate"/>
          </w:r>
          <w:r>
            <w:rPr>
              <w:rFonts w:hint="default"/>
            </w:rPr>
            <w:t xml:space="preserve">5.3.3. </w:t>
          </w:r>
          <w:r>
            <w:t>SLA的签订</w:t>
          </w:r>
          <w:r>
            <w:tab/>
          </w:r>
          <w:r>
            <w:fldChar w:fldCharType="begin"/>
          </w:r>
          <w:r>
            <w:instrText xml:space="preserve"> PAGEREF _Toc21603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_Toc4829 </w:instrText>
          </w:r>
          <w:r>
            <w:rPr>
              <w:rFonts w:ascii="Microsoft JhengHei" w:eastAsia="Microsoft JhengHei" w:hAnsi="Microsoft JhengHei" w:cs="Microsoft JhengHei" w:hint="eastAsia"/>
              <w:szCs w:val="24"/>
            </w:rPr>
            <w:fldChar w:fldCharType="separate"/>
          </w:r>
          <w:r>
            <w:rPr>
              <w:rFonts w:hint="default"/>
            </w:rPr>
            <w:t xml:space="preserve">5.3.4. </w:t>
          </w:r>
          <w:r>
            <w:t>SLA的实施和监控</w:t>
          </w:r>
          <w:r>
            <w:tab/>
          </w:r>
          <w:r>
            <w:fldChar w:fldCharType="begin"/>
          </w:r>
          <w:r>
            <w:instrText xml:space="preserve"> PAGEREF _Toc4829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_Toc15307 </w:instrText>
          </w:r>
          <w:r>
            <w:rPr>
              <w:rFonts w:ascii="Microsoft JhengHei" w:eastAsia="Microsoft JhengHei" w:hAnsi="Microsoft JhengHei" w:cs="Microsoft JhengHei" w:hint="eastAsia"/>
              <w:szCs w:val="24"/>
            </w:rPr>
            <w:fldChar w:fldCharType="separate"/>
          </w:r>
          <w:r>
            <w:rPr>
              <w:rFonts w:hint="default"/>
            </w:rPr>
            <w:t xml:space="preserve">5.3.5. </w:t>
          </w:r>
          <w:r>
            <w:t>服务级别评审</w:t>
          </w:r>
          <w:r>
            <w:tab/>
          </w:r>
          <w:r>
            <w:fldChar w:fldCharType="begin"/>
          </w:r>
          <w:r>
            <w:instrText xml:space="preserve"> PAGEREF _Toc15307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_Toc10336 </w:instrText>
          </w:r>
          <w:r>
            <w:rPr>
              <w:rFonts w:ascii="Microsoft JhengHei" w:eastAsia="Microsoft JhengHei" w:hAnsi="Microsoft JhengHei" w:cs="Microsoft JhengHei" w:hint="eastAsia"/>
              <w:szCs w:val="24"/>
            </w:rPr>
            <w:fldChar w:fldCharType="separate"/>
          </w:r>
          <w:r>
            <w:rPr>
              <w:rFonts w:hint="default"/>
              <w:lang w:val="en-US" w:eastAsia="zh-CN"/>
            </w:rPr>
            <w:t xml:space="preserve">5.3.6. </w:t>
          </w:r>
          <w:r>
            <w:rPr>
              <w:rFonts w:hint="eastAsia"/>
              <w:lang w:val="en-US" w:eastAsia="zh-CN"/>
            </w:rPr>
            <w:t>服务级别改进</w:t>
          </w:r>
          <w:r>
            <w:tab/>
          </w:r>
          <w:r>
            <w:fldChar w:fldCharType="begin"/>
          </w:r>
          <w:r>
            <w:instrText xml:space="preserve"> PAGEREF _Toc10336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_Toc12079 </w:instrText>
          </w:r>
          <w:r>
            <w:rPr>
              <w:rFonts w:ascii="Microsoft JhengHei" w:eastAsia="Microsoft JhengHei" w:hAnsi="Microsoft JhengHei" w:cs="Microsoft JhengHei" w:hint="eastAsia"/>
              <w:szCs w:val="24"/>
            </w:rPr>
            <w:fldChar w:fldCharType="separate"/>
          </w:r>
          <w:r>
            <w:rPr>
              <w:rFonts w:hint="default"/>
            </w:rPr>
            <w:t xml:space="preserve">5.4. </w:t>
          </w:r>
          <w:r>
            <w:t>关键成功因素</w:t>
          </w:r>
          <w:r>
            <w:tab/>
          </w:r>
          <w:r>
            <w:fldChar w:fldCharType="begin"/>
          </w:r>
          <w:r>
            <w:instrText xml:space="preserve"> PAGEREF _Toc12079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_Toc27916 </w:instrText>
          </w:r>
          <w:r>
            <w:rPr>
              <w:rFonts w:ascii="Microsoft JhengHei" w:eastAsia="Microsoft JhengHei" w:hAnsi="Microsoft JhengHei" w:cs="Microsoft JhengHei" w:hint="eastAsia"/>
              <w:szCs w:val="24"/>
            </w:rPr>
            <w:fldChar w:fldCharType="separate"/>
          </w:r>
          <w:r>
            <w:rPr>
              <w:rFonts w:hint="default"/>
            </w:rPr>
            <w:t xml:space="preserve">5.5. </w:t>
          </w:r>
          <w:r>
            <w:t>可能存在的风险</w:t>
          </w:r>
          <w:r>
            <w:tab/>
          </w:r>
          <w:r>
            <w:fldChar w:fldCharType="begin"/>
          </w:r>
          <w:r>
            <w:instrText xml:space="preserve"> PAGEREF _Toc27916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_Toc21708 </w:instrText>
          </w:r>
          <w:r>
            <w:rPr>
              <w:rFonts w:ascii="Microsoft JhengHei" w:eastAsia="Microsoft JhengHei" w:hAnsi="Microsoft JhengHei" w:cs="Microsoft JhengHei" w:hint="eastAsia"/>
              <w:szCs w:val="24"/>
            </w:rPr>
            <w:fldChar w:fldCharType="separate"/>
          </w:r>
          <w:r>
            <w:rPr>
              <w:rFonts w:hint="default"/>
            </w:rPr>
            <w:t xml:space="preserve">5.6. </w:t>
          </w:r>
          <w:r>
            <w:t>与其他流程的关系</w:t>
          </w:r>
          <w:r>
            <w:tab/>
          </w:r>
          <w:r>
            <w:fldChar w:fldCharType="begin"/>
          </w:r>
          <w:r>
            <w:instrText xml:space="preserve"> PAGEREF _Toc21708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_Toc12533 </w:instrText>
          </w:r>
          <w:r>
            <w:rPr>
              <w:rFonts w:ascii="Microsoft JhengHei" w:eastAsia="Microsoft JhengHei" w:hAnsi="Microsoft JhengHei" w:cs="Microsoft JhengHei" w:hint="eastAsia"/>
              <w:szCs w:val="24"/>
            </w:rPr>
            <w:fldChar w:fldCharType="separate"/>
          </w:r>
          <w:r>
            <w:rPr>
              <w:rFonts w:hint="default"/>
            </w:rPr>
            <w:t xml:space="preserve">5.6.1. </w:t>
          </w:r>
          <w:r>
            <w:t>与事件管理和问题管理</w:t>
          </w:r>
          <w:r>
            <w:tab/>
          </w:r>
          <w:r>
            <w:fldChar w:fldCharType="begin"/>
          </w:r>
          <w:r>
            <w:instrText xml:space="preserve"> PAGEREF _Toc12533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_Toc15339 </w:instrText>
          </w:r>
          <w:r>
            <w:rPr>
              <w:rFonts w:ascii="Microsoft JhengHei" w:eastAsia="Microsoft JhengHei" w:hAnsi="Microsoft JhengHei" w:cs="Microsoft JhengHei" w:hint="eastAsia"/>
              <w:szCs w:val="24"/>
            </w:rPr>
            <w:fldChar w:fldCharType="separate"/>
          </w:r>
          <w:r>
            <w:rPr>
              <w:rFonts w:hint="default"/>
            </w:rPr>
            <w:t xml:space="preserve">5.6.2. </w:t>
          </w:r>
          <w:r>
            <w:t>与变更管理和发布管理</w:t>
          </w:r>
          <w:r>
            <w:tab/>
          </w:r>
          <w:r>
            <w:fldChar w:fldCharType="begin"/>
          </w:r>
          <w:r>
            <w:instrText xml:space="preserve"> PAGEREF _Toc15339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_Toc28586 </w:instrText>
          </w:r>
          <w:r>
            <w:rPr>
              <w:rFonts w:ascii="Microsoft JhengHei" w:eastAsia="Microsoft JhengHei" w:hAnsi="Microsoft JhengHei" w:cs="Microsoft JhengHei" w:hint="eastAsia"/>
              <w:szCs w:val="24"/>
            </w:rPr>
            <w:fldChar w:fldCharType="separate"/>
          </w:r>
          <w:r>
            <w:rPr>
              <w:rFonts w:hint="default"/>
            </w:rPr>
            <w:t xml:space="preserve">5.6.3. </w:t>
          </w:r>
          <w:r>
            <w:t>与配置管理</w:t>
          </w:r>
          <w:r>
            <w:tab/>
          </w:r>
          <w:r>
            <w:fldChar w:fldCharType="begin"/>
          </w:r>
          <w:r>
            <w:instrText xml:space="preserve"> PAGEREF _Toc28586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_Toc32189 </w:instrText>
          </w:r>
          <w:r>
            <w:rPr>
              <w:rFonts w:ascii="Microsoft JhengHei" w:eastAsia="Microsoft JhengHei" w:hAnsi="Microsoft JhengHei" w:cs="Microsoft JhengHei" w:hint="eastAsia"/>
              <w:szCs w:val="24"/>
            </w:rPr>
            <w:fldChar w:fldCharType="separate"/>
          </w:r>
          <w:r>
            <w:rPr>
              <w:rFonts w:hint="default"/>
            </w:rPr>
            <w:t xml:space="preserve">5.7. </w:t>
          </w:r>
          <w:r>
            <w:t>考核指标</w:t>
          </w:r>
          <w:r>
            <w:tab/>
          </w:r>
          <w:r>
            <w:fldChar w:fldCharType="begin"/>
          </w:r>
          <w:r>
            <w:instrText xml:space="preserve"> PAGEREF _Toc32189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2"/>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_Toc8708 </w:instrText>
          </w:r>
          <w:r>
            <w:rPr>
              <w:rFonts w:ascii="Microsoft JhengHei" w:eastAsia="Microsoft JhengHei" w:hAnsi="Microsoft JhengHei" w:cs="Microsoft JhengHei" w:hint="eastAsia"/>
              <w:szCs w:val="24"/>
            </w:rPr>
            <w:fldChar w:fldCharType="separate"/>
          </w:r>
          <w:r>
            <w:rPr>
              <w:rFonts w:hint="default"/>
            </w:rPr>
            <w:t xml:space="preserve">5.8. </w:t>
          </w:r>
          <w:r>
            <w:t>相关政策</w:t>
          </w:r>
          <w:r>
            <w:tab/>
          </w:r>
          <w:r>
            <w:fldChar w:fldCharType="begin"/>
          </w:r>
          <w:r>
            <w:instrText xml:space="preserve"> PAGEREF _Toc8708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_Toc10844 </w:instrText>
          </w:r>
          <w:r>
            <w:rPr>
              <w:rFonts w:ascii="Microsoft JhengHei" w:eastAsia="Microsoft JhengHei" w:hAnsi="Microsoft JhengHei" w:cs="Microsoft JhengHei" w:hint="eastAsia"/>
              <w:szCs w:val="24"/>
            </w:rPr>
            <w:fldChar w:fldCharType="separate"/>
          </w:r>
          <w:r>
            <w:rPr>
              <w:rFonts w:hint="default"/>
            </w:rPr>
            <w:t xml:space="preserve">5.8.1. </w:t>
          </w:r>
          <w:r>
            <w:t>常规方针</w:t>
          </w:r>
          <w:r>
            <w:tab/>
          </w:r>
          <w:r>
            <w:fldChar w:fldCharType="begin"/>
          </w:r>
          <w:r>
            <w:instrText xml:space="preserve"> PAGEREF _Toc10844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pStyle w:val="TOC3"/>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_Toc20408 </w:instrText>
          </w:r>
          <w:r>
            <w:rPr>
              <w:rFonts w:ascii="Microsoft JhengHei" w:eastAsia="Microsoft JhengHei" w:hAnsi="Microsoft JhengHei" w:cs="Microsoft JhengHei" w:hint="eastAsia"/>
              <w:szCs w:val="24"/>
            </w:rPr>
            <w:fldChar w:fldCharType="separate"/>
          </w:r>
          <w:r>
            <w:rPr>
              <w:rFonts w:hint="default"/>
            </w:rPr>
            <w:t xml:space="preserve">5.8.2. </w:t>
          </w:r>
          <w:r>
            <w:t>责任人方针</w:t>
          </w:r>
          <w:r>
            <w:tab/>
          </w:r>
          <w:r>
            <w:fldChar w:fldCharType="begin"/>
          </w:r>
          <w:r>
            <w:instrText xml:space="preserve"> PAGEREF _Toc20408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pStyle w:val="TOC1"/>
            <w:tabs>
              <w:tab w:val="right" w:leader="dot" w:pos="8468"/>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_Toc2728 </w:instrText>
          </w:r>
          <w:r>
            <w:rPr>
              <w:rFonts w:ascii="Microsoft JhengHei" w:eastAsia="Microsoft JhengHei" w:hAnsi="Microsoft JhengHei" w:cs="Microsoft JhengHei" w:hint="eastAsia"/>
              <w:szCs w:val="24"/>
            </w:rPr>
            <w:fldChar w:fldCharType="separate"/>
          </w:r>
          <w:r>
            <w:rPr>
              <w:rFonts w:hint="default"/>
            </w:rPr>
            <w:t xml:space="preserve">6. </w:t>
          </w:r>
          <w:r>
            <w:t>相关文件及模板</w:t>
          </w:r>
          <w:r>
            <w:tab/>
          </w:r>
          <w:r>
            <w:fldChar w:fldCharType="begin"/>
          </w:r>
          <w:r>
            <w:instrText xml:space="preserve"> PAGEREF _Toc2728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Microsoft JhengHei" w:eastAsia="Microsoft JhengHei" w:hAnsi="Microsoft JhengHei" w:cs="Microsoft JhengHei" w:hint="eastAsia"/>
              <w:snapToGrid w:val="0"/>
              <w:color w:val="000000"/>
              <w:kern w:val="0"/>
              <w:sz w:val="24"/>
              <w:szCs w:val="24"/>
              <w:lang w:val="en-US" w:eastAsia="en-US" w:bidi="ar-SA"/>
            </w:rPr>
          </w:pPr>
          <w:r>
            <w:rPr>
              <w:rFonts w:ascii="Microsoft JhengHei" w:eastAsia="Microsoft JhengHei" w:hAnsi="Microsoft JhengHei" w:cs="Microsoft JhengHei"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1624"/>
      <w:r>
        <w:t>目的</w:t>
      </w:r>
      <w:bookmarkEnd w:id="3"/>
    </w:p>
    <w:p>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20" w:firstLineChars="200"/>
        <w:jc w:val="left"/>
        <w:textAlignment w:val="baseline"/>
        <w:rPr>
          <w:rFonts w:ascii="宋体" w:eastAsia="宋体" w:hAnsi="宋体" w:cs="宋体"/>
          <w:sz w:val="24"/>
          <w:szCs w:val="24"/>
        </w:rPr>
      </w:pPr>
      <w:r>
        <w:rPr>
          <w:rFonts w:ascii="宋体" w:eastAsia="宋体" w:hAnsi="宋体" w:cs="宋体"/>
          <w:sz w:val="24"/>
          <w:szCs w:val="24"/>
        </w:rPr>
        <w:t>服务级别管理（</w:t>
      </w:r>
      <w:r>
        <w:rPr>
          <w:rFonts w:ascii="Calibri" w:eastAsia="Calibri" w:hAnsi="Calibri" w:cs="Calibri"/>
          <w:sz w:val="24"/>
          <w:szCs w:val="24"/>
        </w:rPr>
        <w:t>SLM</w:t>
      </w:r>
      <w:r>
        <w:rPr>
          <w:rFonts w:ascii="宋体" w:eastAsia="宋体" w:hAnsi="宋体" w:cs="宋体"/>
          <w:sz w:val="24"/>
          <w:szCs w:val="24"/>
        </w:rPr>
        <w:t>）是为确保对整个运维服务</w:t>
      </w:r>
      <w:r>
        <w:rPr>
          <w:rFonts w:ascii="宋体" w:eastAsia="宋体" w:hAnsi="宋体" w:cs="宋体"/>
          <w:spacing w:val="-1"/>
          <w:sz w:val="24"/>
          <w:szCs w:val="24"/>
        </w:rPr>
        <w:t>组织中所有运维服务及其</w:t>
      </w:r>
      <w:r>
        <w:rPr>
          <w:rFonts w:ascii="宋体" w:eastAsia="宋体" w:hAnsi="宋体" w:cs="宋体"/>
          <w:sz w:val="24"/>
          <w:szCs w:val="24"/>
        </w:rPr>
        <w:t>绩效以专业一致的方式进行衡量，并且服务和产生</w:t>
      </w:r>
      <w:r>
        <w:rPr>
          <w:rFonts w:ascii="宋体" w:eastAsia="宋体" w:hAnsi="宋体" w:cs="宋体"/>
          <w:spacing w:val="-1"/>
          <w:sz w:val="24"/>
          <w:szCs w:val="24"/>
        </w:rPr>
        <w:t>的报告符合业务和客户的需</w:t>
      </w:r>
      <w:r>
        <w:rPr>
          <w:rFonts w:ascii="宋体" w:eastAsia="宋体" w:hAnsi="宋体" w:cs="宋体"/>
          <w:spacing w:val="-5"/>
          <w:sz w:val="24"/>
          <w:szCs w:val="24"/>
        </w:rPr>
        <w:t>要。具体目的包括以下几项：</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通过对运维服务绩效的协商、监控、评价和报告等一整套相对固定的</w:t>
      </w:r>
      <w:r>
        <w:rPr>
          <w:rFonts w:hint="eastAsia"/>
          <w:lang w:val="en-US" w:eastAsia="zh-CN"/>
        </w:rPr>
        <w:t>运维</w:t>
      </w:r>
      <w:r>
        <w:t>流程，来维持和改进运维服务的质量，使之既符合业务需求，又满足成本约束的要求；</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采取适当的行动来消除或改进不符合级别要求的运维服务；</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提高客户满意度以改善与客户的关系；</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督促运维服务提供方。为了规范服务级别管理过程，特制定本文档。</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6803"/>
      <w:r>
        <w:t>适用范围</w:t>
      </w:r>
      <w:bookmarkEnd w:id="4"/>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本文档适用于服务级别管理过程。</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9187"/>
      <w:r>
        <w:t>术语、缩略词和定义</w:t>
      </w:r>
      <w:bookmarkEnd w:id="5"/>
    </w:p>
    <w:p>
      <w:pPr>
        <w:keepNext w:val="0"/>
        <w:keepLines w:val="0"/>
        <w:pageBreakBefore w:val="0"/>
        <w:widowControl w:val="0"/>
        <w:kinsoku w:val="0"/>
        <w:wordWrap/>
        <w:overflowPunct/>
        <w:topLinePunct w:val="0"/>
        <w:autoSpaceDE w:val="0"/>
        <w:autoSpaceDN w:val="0"/>
        <w:bidi w:val="0"/>
        <w:adjustRightInd w:val="0"/>
        <w:snapToGrid w:val="0"/>
        <w:spacing w:line="35" w:lineRule="exact"/>
        <w:textAlignment w:val="baseline"/>
      </w:pPr>
    </w:p>
    <w:tbl>
      <w:tblPr>
        <w:tblStyle w:val="TableNormal0"/>
        <w:tblW w:w="8528" w:type="dxa"/>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1202"/>
        <w:gridCol w:w="897"/>
        <w:gridCol w:w="6429"/>
      </w:tblGrid>
      <w:tr>
        <w:tblPrEx>
          <w:tblW w:w="8528" w:type="dxa"/>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784"/>
        </w:trPr>
        <w:tc>
          <w:tcPr>
            <w:tcW w:w="1202" w:type="dxa"/>
            <w:tcBorders>
              <w:top w:val="single" w:sz="12" w:space="0" w:color="000000"/>
              <w:left w:val="single" w:sz="12" w:space="0" w:color="000000"/>
              <w:right w:val="single" w:sz="2" w:space="0" w:color="000000"/>
            </w:tcBorders>
            <w:shd w:val="clear" w:color="auto" w:fill="BFBFBF"/>
            <w:vAlign w:val="center"/>
          </w:tcPr>
          <w:p>
            <w:pPr>
              <w:keepNext w:val="0"/>
              <w:keepLines w:val="0"/>
              <w:pageBreakBefore w:val="0"/>
              <w:widowControl w:val="0"/>
              <w:kinsoku w:val="0"/>
              <w:wordWrap/>
              <w:overflowPunct/>
              <w:topLinePunct w:val="0"/>
              <w:autoSpaceDE w:val="0"/>
              <w:autoSpaceDN w:val="0"/>
              <w:bidi w:val="0"/>
              <w:adjustRightInd w:val="0"/>
              <w:snapToGrid w:val="0"/>
              <w:spacing w:before="285" w:line="220" w:lineRule="auto"/>
              <w:ind w:left="327"/>
              <w:textAlignment w:val="baseline"/>
              <w:rPr>
                <w:rFonts w:ascii="宋体" w:eastAsia="宋体" w:hAnsi="宋体" w:cs="宋体"/>
                <w:sz w:val="21"/>
                <w:szCs w:val="21"/>
              </w:rPr>
            </w:pPr>
            <w:r>
              <w:rPr>
                <w:rFonts w:ascii="宋体" w:eastAsia="宋体" w:hAnsi="宋体" w:cs="宋体"/>
                <w:b/>
                <w:bCs/>
                <w:spacing w:val="-8"/>
                <w:sz w:val="21"/>
                <w:szCs w:val="21"/>
              </w:rPr>
              <w:t>术</w:t>
            </w:r>
            <w:r>
              <w:rPr>
                <w:rFonts w:ascii="宋体" w:eastAsia="宋体" w:hAnsi="宋体" w:cs="宋体"/>
                <w:spacing w:val="8"/>
                <w:sz w:val="21"/>
                <w:szCs w:val="21"/>
              </w:rPr>
              <w:t xml:space="preserve"> </w:t>
            </w:r>
            <w:r>
              <w:rPr>
                <w:rFonts w:ascii="宋体" w:eastAsia="宋体" w:hAnsi="宋体" w:cs="宋体"/>
                <w:b/>
                <w:bCs/>
                <w:spacing w:val="-8"/>
                <w:sz w:val="21"/>
                <w:szCs w:val="21"/>
              </w:rPr>
              <w:t>语</w:t>
            </w:r>
          </w:p>
        </w:tc>
        <w:tc>
          <w:tcPr>
            <w:tcW w:w="897" w:type="dxa"/>
            <w:tcBorders>
              <w:top w:val="single" w:sz="12" w:space="0" w:color="000000"/>
              <w:left w:val="single" w:sz="2" w:space="0" w:color="000000"/>
              <w:right w:val="single" w:sz="2" w:space="0" w:color="000000"/>
            </w:tcBorders>
            <w:shd w:val="clear" w:color="auto" w:fill="BFBFBF"/>
            <w:vAlign w:val="center"/>
          </w:tcPr>
          <w:p>
            <w:pPr>
              <w:keepNext w:val="0"/>
              <w:keepLines w:val="0"/>
              <w:pageBreakBefore w:val="0"/>
              <w:widowControl w:val="0"/>
              <w:kinsoku w:val="0"/>
              <w:wordWrap/>
              <w:overflowPunct/>
              <w:topLinePunct w:val="0"/>
              <w:autoSpaceDE w:val="0"/>
              <w:autoSpaceDN w:val="0"/>
              <w:bidi w:val="0"/>
              <w:adjustRightInd w:val="0"/>
              <w:snapToGrid w:val="0"/>
              <w:spacing w:before="286" w:line="219" w:lineRule="auto"/>
              <w:ind w:left="129"/>
              <w:textAlignment w:val="baseline"/>
              <w:rPr>
                <w:rFonts w:ascii="宋体" w:eastAsia="宋体" w:hAnsi="宋体" w:cs="宋体"/>
                <w:sz w:val="21"/>
                <w:szCs w:val="21"/>
              </w:rPr>
            </w:pPr>
            <w:r>
              <w:rPr>
                <w:rFonts w:ascii="宋体" w:eastAsia="宋体" w:hAnsi="宋体" w:cs="宋体"/>
                <w:b/>
                <w:bCs/>
                <w:spacing w:val="-5"/>
                <w:sz w:val="21"/>
                <w:szCs w:val="21"/>
              </w:rPr>
              <w:t>缩略词</w:t>
            </w:r>
          </w:p>
        </w:tc>
        <w:tc>
          <w:tcPr>
            <w:tcW w:w="6429" w:type="dxa"/>
            <w:tcBorders>
              <w:top w:val="single" w:sz="12" w:space="0" w:color="000000"/>
              <w:left w:val="single" w:sz="2" w:space="0" w:color="000000"/>
              <w:right w:val="single" w:sz="12" w:space="0" w:color="000000"/>
            </w:tcBorders>
            <w:shd w:val="clear" w:color="auto" w:fill="BFBFBF"/>
            <w:vAlign w:val="center"/>
          </w:tcPr>
          <w:p>
            <w:pPr>
              <w:keepNext w:val="0"/>
              <w:keepLines w:val="0"/>
              <w:pageBreakBefore w:val="0"/>
              <w:widowControl w:val="0"/>
              <w:kinsoku w:val="0"/>
              <w:wordWrap/>
              <w:overflowPunct/>
              <w:topLinePunct w:val="0"/>
              <w:autoSpaceDE w:val="0"/>
              <w:autoSpaceDN w:val="0"/>
              <w:bidi w:val="0"/>
              <w:adjustRightInd w:val="0"/>
              <w:snapToGrid w:val="0"/>
              <w:spacing w:before="286" w:line="220" w:lineRule="auto"/>
              <w:ind w:left="2958"/>
              <w:textAlignment w:val="baseline"/>
              <w:rPr>
                <w:rFonts w:ascii="宋体" w:eastAsia="宋体" w:hAnsi="宋体" w:cs="宋体"/>
                <w:sz w:val="21"/>
                <w:szCs w:val="21"/>
              </w:rPr>
            </w:pPr>
            <w:r>
              <w:rPr>
                <w:rFonts w:ascii="宋体" w:eastAsia="宋体" w:hAnsi="宋体" w:cs="宋体"/>
                <w:b/>
                <w:bCs/>
                <w:spacing w:val="-9"/>
                <w:sz w:val="21"/>
                <w:szCs w:val="21"/>
              </w:rPr>
              <w:t>定</w:t>
            </w:r>
            <w:r>
              <w:rPr>
                <w:rFonts w:ascii="宋体" w:eastAsia="宋体" w:hAnsi="宋体" w:cs="宋体"/>
                <w:spacing w:val="10"/>
                <w:sz w:val="21"/>
                <w:szCs w:val="21"/>
              </w:rPr>
              <w:t xml:space="preserve"> </w:t>
            </w:r>
            <w:r>
              <w:rPr>
                <w:rFonts w:ascii="宋体" w:eastAsia="宋体" w:hAnsi="宋体" w:cs="宋体"/>
                <w:b/>
                <w:bCs/>
                <w:spacing w:val="-9"/>
                <w:sz w:val="21"/>
                <w:szCs w:val="21"/>
              </w:rPr>
              <w:t>义</w:t>
            </w:r>
          </w:p>
        </w:tc>
      </w:tr>
      <w:tr>
        <w:tblPrEx>
          <w:tblW w:w="8528" w:type="dxa"/>
          <w:tblInd w:w="17" w:type="dxa"/>
          <w:tblLayout w:type="fixed"/>
          <w:tblCellMar>
            <w:top w:w="0" w:type="dxa"/>
            <w:left w:w="0" w:type="dxa"/>
            <w:bottom w:w="0" w:type="dxa"/>
            <w:right w:w="0" w:type="dxa"/>
          </w:tblCellMar>
        </w:tblPrEx>
        <w:trPr>
          <w:trHeight w:val="1708"/>
        </w:trPr>
        <w:tc>
          <w:tcPr>
            <w:tcW w:w="1202" w:type="dxa"/>
            <w:tcBorders>
              <w:left w:val="single" w:sz="12"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168"/>
              <w:textAlignment w:val="baseline"/>
              <w:rPr>
                <w:rFonts w:ascii="宋体" w:eastAsia="宋体" w:hAnsi="宋体" w:cs="宋体"/>
                <w:sz w:val="21"/>
                <w:szCs w:val="21"/>
              </w:rPr>
            </w:pPr>
            <w:r>
              <w:rPr>
                <w:rFonts w:ascii="宋体" w:eastAsia="宋体" w:hAnsi="宋体" w:cs="宋体"/>
                <w:spacing w:val="-2"/>
                <w:sz w:val="21"/>
                <w:szCs w:val="21"/>
              </w:rPr>
              <w:t>服务目录</w:t>
            </w:r>
          </w:p>
        </w:tc>
        <w:tc>
          <w:tcPr>
            <w:tcW w:w="897"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0" w:line="186" w:lineRule="auto"/>
              <w:ind w:left="316"/>
              <w:textAlignment w:val="baseline"/>
              <w:rPr>
                <w:rFonts w:ascii="Times New Roman" w:eastAsia="Times New Roman" w:hAnsi="Times New Roman" w:cs="Times New Roman"/>
                <w:sz w:val="21"/>
                <w:szCs w:val="21"/>
              </w:rPr>
            </w:pPr>
            <w:r>
              <w:rPr>
                <w:rFonts w:ascii="Times New Roman" w:eastAsia="Times New Roman" w:hAnsi="Times New Roman" w:cs="Times New Roman"/>
                <w:spacing w:val="-4"/>
                <w:sz w:val="21"/>
                <w:szCs w:val="21"/>
              </w:rPr>
              <w:t>SC</w:t>
            </w:r>
          </w:p>
        </w:tc>
        <w:tc>
          <w:tcPr>
            <w:tcW w:w="6429" w:type="dxa"/>
            <w:tcBorders>
              <w:right w:val="single" w:sz="12" w:space="0" w:color="000000"/>
            </w:tcBorders>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服务提供方以顾客的语言记录可提供全部服务的文件，并给出这些服务的概要信息。作为一个重要的沟通工具，服务目录可以帮助协调顾客的期望，从而有助于客户和服务提供方之间的过程整合。</w:t>
            </w:r>
          </w:p>
        </w:tc>
      </w:tr>
      <w:tr>
        <w:tblPrEx>
          <w:tblW w:w="8528" w:type="dxa"/>
          <w:tblInd w:w="17" w:type="dxa"/>
          <w:tblLayout w:type="fixed"/>
          <w:tblCellMar>
            <w:top w:w="0" w:type="dxa"/>
            <w:left w:w="0" w:type="dxa"/>
            <w:bottom w:w="0" w:type="dxa"/>
            <w:right w:w="0" w:type="dxa"/>
          </w:tblCellMar>
        </w:tblPrEx>
        <w:trPr>
          <w:trHeight w:val="784"/>
        </w:trPr>
        <w:tc>
          <w:tcPr>
            <w:tcW w:w="1202" w:type="dxa"/>
            <w:tcBorders>
              <w:left w:val="single" w:sz="12"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289" w:line="220" w:lineRule="auto"/>
              <w:ind w:left="168"/>
              <w:textAlignment w:val="baseline"/>
              <w:rPr>
                <w:rFonts w:ascii="宋体" w:eastAsia="宋体" w:hAnsi="宋体" w:cs="宋体"/>
                <w:sz w:val="21"/>
                <w:szCs w:val="21"/>
              </w:rPr>
            </w:pPr>
            <w:r>
              <w:rPr>
                <w:rFonts w:ascii="宋体" w:eastAsia="宋体" w:hAnsi="宋体" w:cs="宋体"/>
                <w:spacing w:val="-2"/>
                <w:sz w:val="21"/>
                <w:szCs w:val="21"/>
              </w:rPr>
              <w:t>服务级别</w:t>
            </w:r>
          </w:p>
        </w:tc>
        <w:tc>
          <w:tcPr>
            <w:tcW w:w="897"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0" w:line="186" w:lineRule="auto"/>
              <w:ind w:left="322"/>
              <w:textAlignment w:val="baseline"/>
              <w:rPr>
                <w:rFonts w:ascii="Times New Roman" w:eastAsia="Times New Roman" w:hAnsi="Times New Roman" w:cs="Times New Roman"/>
                <w:sz w:val="21"/>
                <w:szCs w:val="21"/>
              </w:rPr>
            </w:pPr>
            <w:r>
              <w:rPr>
                <w:rFonts w:ascii="Times New Roman" w:eastAsia="Times New Roman" w:hAnsi="Times New Roman" w:cs="Times New Roman"/>
                <w:spacing w:val="-4"/>
                <w:sz w:val="21"/>
                <w:szCs w:val="21"/>
              </w:rPr>
              <w:t>SL</w:t>
            </w:r>
          </w:p>
        </w:tc>
        <w:tc>
          <w:tcPr>
            <w:tcW w:w="6429" w:type="dxa"/>
            <w:tcBorders>
              <w:right w:val="single" w:sz="12" w:space="0" w:color="000000"/>
            </w:tcBorders>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指服务提供方与客户就服务的质量、性能等方面所达成的双方共同认可的级别要求。</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27519"/>
      <w:r>
        <w:t>角色与职责</w:t>
      </w:r>
      <w:bookmarkEnd w:id="6"/>
    </w:p>
    <w:p>
      <w:pPr>
        <w:keepNext w:val="0"/>
        <w:keepLines w:val="0"/>
        <w:pageBreakBefore w:val="0"/>
        <w:widowControl w:val="0"/>
        <w:kinsoku w:val="0"/>
        <w:wordWrap/>
        <w:overflowPunct/>
        <w:topLinePunct w:val="0"/>
        <w:autoSpaceDE w:val="0"/>
        <w:autoSpaceDN w:val="0"/>
        <w:bidi w:val="0"/>
        <w:adjustRightInd w:val="0"/>
        <w:snapToGrid w:val="0"/>
        <w:spacing w:line="35" w:lineRule="exact"/>
        <w:textAlignment w:val="baseline"/>
      </w:pPr>
    </w:p>
    <w:tbl>
      <w:tblPr>
        <w:tblStyle w:val="TableNormal0"/>
        <w:tblW w:w="8471"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26"/>
        <w:gridCol w:w="5119"/>
        <w:gridCol w:w="1826"/>
      </w:tblGrid>
      <w:tr>
        <w:tblPrEx>
          <w:tblW w:w="8471"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1"/>
        </w:trPr>
        <w:tc>
          <w:tcPr>
            <w:tcW w:w="1526"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6" w:line="219" w:lineRule="auto"/>
              <w:ind w:left="558"/>
              <w:textAlignment w:val="baseline"/>
              <w:rPr>
                <w:rFonts w:ascii="宋体" w:eastAsia="宋体" w:hAnsi="宋体" w:cs="宋体"/>
                <w:sz w:val="21"/>
                <w:szCs w:val="21"/>
              </w:rPr>
            </w:pPr>
            <w:r>
              <w:rPr>
                <w:rFonts w:ascii="宋体" w:eastAsia="宋体" w:hAnsi="宋体" w:cs="宋体"/>
                <w:b/>
                <w:bCs/>
                <w:spacing w:val="-6"/>
                <w:sz w:val="21"/>
                <w:szCs w:val="21"/>
              </w:rPr>
              <w:t>角色</w:t>
            </w:r>
          </w:p>
        </w:tc>
        <w:tc>
          <w:tcPr>
            <w:tcW w:w="5119"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6" w:line="221" w:lineRule="auto"/>
              <w:ind w:left="2491"/>
              <w:textAlignment w:val="baseline"/>
              <w:rPr>
                <w:rFonts w:ascii="宋体" w:eastAsia="宋体" w:hAnsi="宋体" w:cs="宋体"/>
                <w:sz w:val="21"/>
                <w:szCs w:val="21"/>
              </w:rPr>
            </w:pPr>
            <w:r>
              <w:rPr>
                <w:rFonts w:ascii="宋体" w:eastAsia="宋体" w:hAnsi="宋体" w:cs="宋体"/>
                <w:b/>
                <w:bCs/>
                <w:spacing w:val="-5"/>
                <w:sz w:val="21"/>
                <w:szCs w:val="21"/>
              </w:rPr>
              <w:t>职责</w:t>
            </w:r>
          </w:p>
        </w:tc>
        <w:tc>
          <w:tcPr>
            <w:tcW w:w="1826"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5" w:line="220" w:lineRule="auto"/>
              <w:ind w:left="474"/>
              <w:textAlignment w:val="baseline"/>
              <w:rPr>
                <w:rFonts w:ascii="宋体" w:eastAsia="宋体" w:hAnsi="宋体" w:cs="宋体"/>
                <w:sz w:val="21"/>
                <w:szCs w:val="21"/>
              </w:rPr>
            </w:pPr>
            <w:r>
              <w:rPr>
                <w:rFonts w:ascii="宋体" w:eastAsia="宋体" w:hAnsi="宋体" w:cs="宋体"/>
                <w:b/>
                <w:bCs/>
                <w:spacing w:val="-6"/>
                <w:sz w:val="21"/>
                <w:szCs w:val="21"/>
              </w:rPr>
              <w:t>责任人</w:t>
            </w:r>
          </w:p>
        </w:tc>
      </w:tr>
      <w:tr>
        <w:tblPrEx>
          <w:tblW w:w="8471" w:type="dxa"/>
          <w:tblInd w:w="43" w:type="dxa"/>
          <w:tblLayout w:type="fixed"/>
          <w:tblCellMar>
            <w:top w:w="0" w:type="dxa"/>
            <w:left w:w="0" w:type="dxa"/>
            <w:bottom w:w="0" w:type="dxa"/>
            <w:right w:w="0" w:type="dxa"/>
          </w:tblCellMar>
        </w:tblPrEx>
        <w:trPr>
          <w:trHeight w:val="1247"/>
        </w:trPr>
        <w:tc>
          <w:tcPr>
            <w:tcW w:w="1526" w:type="dxa"/>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p>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服务级别经理</w:t>
            </w:r>
          </w:p>
        </w:tc>
        <w:tc>
          <w:tcPr>
            <w:tcW w:w="5119" w:type="dxa"/>
          </w:tcPr>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编制与更新服务目录</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定义和维护一个有效的服务级别管理过程</w:t>
            </w:r>
          </w:p>
        </w:tc>
        <w:tc>
          <w:tcPr>
            <w:tcW w:w="1826" w:type="dxa"/>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pPr>
            <w:r>
              <w:t>运维部经理</w:t>
            </w:r>
          </w:p>
        </w:tc>
      </w:tr>
    </w:tbl>
    <w:p>
      <w:pPr>
        <w:keepNext w:val="0"/>
        <w:keepLines w:val="0"/>
        <w:pageBreakBefore w:val="0"/>
        <w:widowControl w:val="0"/>
        <w:kinsoku w:val="0"/>
        <w:wordWrap/>
        <w:overflowPunct/>
        <w:topLinePunct w:val="0"/>
        <w:autoSpaceDE w:val="0"/>
        <w:autoSpaceDN w:val="0"/>
        <w:bidi w:val="0"/>
        <w:adjustRightInd w:val="0"/>
        <w:snapToGrid w:val="0"/>
        <w:spacing w:line="91" w:lineRule="auto"/>
        <w:textAlignment w:val="baseline"/>
        <w:rPr>
          <w:rFonts w:ascii="Arial"/>
          <w:sz w:val="2"/>
        </w:rPr>
      </w:pPr>
    </w:p>
    <w:tbl>
      <w:tblPr>
        <w:tblStyle w:val="TableNormal0"/>
        <w:tblW w:w="84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26"/>
        <w:gridCol w:w="5212"/>
        <w:gridCol w:w="1733"/>
      </w:tblGrid>
      <w:tr>
        <w:tblPrEx>
          <w:tblW w:w="84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3"/>
        </w:trPr>
        <w:tc>
          <w:tcPr>
            <w:tcW w:w="1526"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6" w:line="219" w:lineRule="auto"/>
              <w:ind w:left="558"/>
              <w:textAlignment w:val="baseline"/>
              <w:rPr>
                <w:rFonts w:ascii="宋体" w:eastAsia="宋体" w:hAnsi="宋体" w:cs="宋体"/>
                <w:sz w:val="21"/>
                <w:szCs w:val="21"/>
              </w:rPr>
            </w:pPr>
            <w:r>
              <w:rPr>
                <w:rFonts w:ascii="宋体" w:eastAsia="宋体" w:hAnsi="宋体" w:cs="宋体"/>
                <w:b/>
                <w:bCs/>
                <w:spacing w:val="-6"/>
                <w:sz w:val="21"/>
                <w:szCs w:val="21"/>
              </w:rPr>
              <w:t>角色</w:t>
            </w:r>
          </w:p>
        </w:tc>
        <w:tc>
          <w:tcPr>
            <w:tcW w:w="5212"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6" w:line="221" w:lineRule="auto"/>
              <w:ind w:left="2491"/>
              <w:textAlignment w:val="baseline"/>
              <w:rPr>
                <w:rFonts w:ascii="宋体" w:eastAsia="宋体" w:hAnsi="宋体" w:cs="宋体"/>
                <w:sz w:val="21"/>
                <w:szCs w:val="21"/>
              </w:rPr>
            </w:pPr>
            <w:r>
              <w:rPr>
                <w:rFonts w:ascii="宋体" w:eastAsia="宋体" w:hAnsi="宋体" w:cs="宋体"/>
                <w:b/>
                <w:bCs/>
                <w:spacing w:val="-5"/>
                <w:sz w:val="21"/>
                <w:szCs w:val="21"/>
              </w:rPr>
              <w:t>职责</w:t>
            </w:r>
          </w:p>
        </w:tc>
        <w:tc>
          <w:tcPr>
            <w:tcW w:w="1733" w:type="dxa"/>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85" w:line="220" w:lineRule="auto"/>
              <w:ind w:left="474"/>
              <w:textAlignment w:val="baseline"/>
              <w:rPr>
                <w:rFonts w:ascii="宋体" w:eastAsia="宋体" w:hAnsi="宋体" w:cs="宋体"/>
                <w:sz w:val="21"/>
                <w:szCs w:val="21"/>
              </w:rPr>
            </w:pPr>
            <w:r>
              <w:rPr>
                <w:rFonts w:ascii="宋体" w:eastAsia="宋体" w:hAnsi="宋体" w:cs="宋体"/>
                <w:b/>
                <w:bCs/>
                <w:spacing w:val="-6"/>
                <w:sz w:val="21"/>
                <w:szCs w:val="21"/>
              </w:rPr>
              <w:t>责任人</w:t>
            </w:r>
          </w:p>
        </w:tc>
      </w:tr>
      <w:tr>
        <w:tblPrEx>
          <w:tblW w:w="8471" w:type="dxa"/>
          <w:tblInd w:w="5" w:type="dxa"/>
          <w:tblLayout w:type="fixed"/>
          <w:tblCellMar>
            <w:top w:w="0" w:type="dxa"/>
            <w:left w:w="0" w:type="dxa"/>
            <w:bottom w:w="0" w:type="dxa"/>
            <w:right w:w="0" w:type="dxa"/>
          </w:tblCellMar>
        </w:tblPrEx>
        <w:trPr>
          <w:trHeight w:val="933"/>
        </w:trPr>
        <w:tc>
          <w:tcPr>
            <w:tcW w:w="152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5212" w:type="dxa"/>
          </w:tcPr>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rPr>
                <w:rFonts w:ascii="宋体" w:eastAsia="宋体" w:hAnsi="宋体" w:cs="宋体"/>
                <w:szCs w:val="24"/>
              </w:rPr>
            </w:pPr>
            <w:r>
              <w:t>跟踪服务级别管理过程，包括监控和评审服务级别</w:t>
            </w:r>
          </w:p>
        </w:tc>
        <w:tc>
          <w:tcPr>
            <w:tcW w:w="173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8471" w:type="dxa"/>
          <w:tblInd w:w="5" w:type="dxa"/>
          <w:tblLayout w:type="fixed"/>
          <w:tblCellMar>
            <w:top w:w="0" w:type="dxa"/>
            <w:left w:w="0" w:type="dxa"/>
            <w:bottom w:w="0" w:type="dxa"/>
            <w:right w:w="0" w:type="dxa"/>
          </w:tblCellMar>
        </w:tblPrEx>
        <w:trPr>
          <w:trHeight w:val="2087"/>
        </w:trPr>
        <w:tc>
          <w:tcPr>
            <w:tcW w:w="1526" w:type="dxa"/>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项目经理</w:t>
            </w:r>
          </w:p>
        </w:tc>
        <w:tc>
          <w:tcPr>
            <w:tcW w:w="5212" w:type="dxa"/>
            <w:vAlign w:val="center"/>
          </w:tcPr>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识别客户需求，与客户协商谈判，负责签订和维护SLA</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依据SLA完成服务规划，完成服务部署</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监测服务质量，落实服务改进措施</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同客户进行评价，调整下一周期的SLA</w:t>
            </w:r>
          </w:p>
        </w:tc>
        <w:tc>
          <w:tcPr>
            <w:tcW w:w="1733" w:type="dxa"/>
            <w:vAlign w:val="center"/>
          </w:tcPr>
          <w:p>
            <w:pPr>
              <w:pStyle w:val="a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运维项目经理</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2838"/>
      <w:r>
        <w:t>服务级别管理流程</w:t>
      </w:r>
      <w:bookmarkEnd w:id="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bookmark29"/>
      <w:bookmarkEnd w:id="8"/>
      <w:bookmarkStart w:id="9" w:name="_Toc9695"/>
      <w:r>
        <w:t>流程原则</w:t>
      </w:r>
      <w:bookmarkEnd w:id="9"/>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bookmark30"/>
      <w:bookmarkEnd w:id="10"/>
      <w:bookmarkStart w:id="11" w:name="_Toc20429"/>
      <w:r>
        <w:t>流程触发条件</w:t>
      </w:r>
      <w:bookmarkEnd w:id="11"/>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新的服务被批准时；</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变更的服务被批准时；</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textAlignment w:val="baseline"/>
      </w:pPr>
      <w:r>
        <w:t>公司服务战略、运维能力及资源支持产生本质上的变动，需要更新服务级别时。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28248"/>
      <w:r>
        <w:t>流程输入</w:t>
      </w:r>
      <w:bookmarkEnd w:id="12"/>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客户需求；</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增加新服务情况；</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服务变更情况；</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资源支持变动情况；</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textAlignment w:val="baseline"/>
      </w:pPr>
      <w:r>
        <w:t>运维能力变动情况。</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23592"/>
      <w:r>
        <w:t>流程输出</w:t>
      </w:r>
      <w:bookmarkEnd w:id="13"/>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服务目录；</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服务级别协议(SLA)；</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服务合同（SC）；</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支持合同(UC)；</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服务报告；</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textAlignment w:val="baseline"/>
      </w:pPr>
      <w:r>
        <w:t>服务级别评审记录。</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bookmark1"/>
      <w:bookmarkEnd w:id="14"/>
      <w:bookmarkStart w:id="15" w:name="_Toc6930"/>
      <w:r>
        <w:t>服务级别管理流程图</w:t>
      </w:r>
      <w:bookmarkEnd w:id="15"/>
    </w:p>
    <w:tbl>
      <w:tblPr>
        <w:tblStyle w:val="TableNormal0"/>
        <w:tblW w:w="9164" w:type="dxa"/>
        <w:tblInd w:w="5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6"/>
        <w:gridCol w:w="1642"/>
        <w:gridCol w:w="1488"/>
        <w:gridCol w:w="1539"/>
        <w:gridCol w:w="2271"/>
        <w:gridCol w:w="1808"/>
      </w:tblGrid>
      <w:tr>
        <w:tblPrEx>
          <w:tblW w:w="9164" w:type="dxa"/>
          <w:tblInd w:w="5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78"/>
        </w:trPr>
        <w:tc>
          <w:tcPr>
            <w:tcW w:w="9164" w:type="dxa"/>
            <w:gridSpan w:val="6"/>
          </w:tcPr>
          <w:p>
            <w:pPr>
              <w:keepNext w:val="0"/>
              <w:keepLines w:val="0"/>
              <w:pageBreakBefore w:val="0"/>
              <w:widowControl w:val="0"/>
              <w:kinsoku w:val="0"/>
              <w:wordWrap/>
              <w:overflowPunct/>
              <w:topLinePunct w:val="0"/>
              <w:autoSpaceDE w:val="0"/>
              <w:autoSpaceDN w:val="0"/>
              <w:bidi w:val="0"/>
              <w:adjustRightInd w:val="0"/>
              <w:snapToGrid w:val="0"/>
              <w:spacing w:before="79" w:line="221" w:lineRule="auto"/>
              <w:ind w:left="45"/>
              <w:textAlignment w:val="baseline"/>
              <w:rPr>
                <w:rFonts w:ascii="宋体" w:eastAsia="宋体" w:hAnsi="宋体" w:cs="宋体"/>
                <w:sz w:val="30"/>
                <w:szCs w:val="30"/>
              </w:rPr>
            </w:pPr>
            <w:r>
              <w:drawing>
                <wp:anchor distT="0" distB="0" distL="0" distR="0" simplePos="0" relativeHeight="251658240" behindDoc="1" locked="0" layoutInCell="1" allowOverlap="1">
                  <wp:simplePos x="0" y="0"/>
                  <wp:positionH relativeFrom="column">
                    <wp:posOffset>4445</wp:posOffset>
                  </wp:positionH>
                  <wp:positionV relativeFrom="paragraph">
                    <wp:posOffset>635</wp:posOffset>
                  </wp:positionV>
                  <wp:extent cx="5805170" cy="523748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xmlns:r="http://schemas.openxmlformats.org/officeDocument/2006/relationships" r:embed="rId4"/>
                          <a:stretch>
                            <a:fillRect/>
                          </a:stretch>
                        </pic:blipFill>
                        <pic:spPr>
                          <a:xfrm>
                            <a:off x="0" y="0"/>
                            <a:ext cx="5804969" cy="5237548"/>
                          </a:xfrm>
                          <a:prstGeom prst="rect">
                            <a:avLst/>
                          </a:prstGeom>
                        </pic:spPr>
                      </pic:pic>
                    </a:graphicData>
                  </a:graphic>
                </wp:anchor>
              </w:drawing>
            </w:r>
            <w:r>
              <w:rPr>
                <w:rFonts w:ascii="宋体" w:eastAsia="宋体" w:hAnsi="宋体" w:cs="宋体"/>
                <w:b/>
                <w:bCs/>
                <w:spacing w:val="-24"/>
                <w:w w:val="93"/>
                <w:sz w:val="30"/>
                <w:szCs w:val="30"/>
              </w:rPr>
              <w:t>服务级别管理流程</w:t>
            </w:r>
          </w:p>
        </w:tc>
      </w:tr>
      <w:tr>
        <w:tblPrEx>
          <w:tblW w:w="9164" w:type="dxa"/>
          <w:tblInd w:w="50" w:type="dxa"/>
          <w:tblLayout w:type="fixed"/>
          <w:tblCellMar>
            <w:top w:w="0" w:type="dxa"/>
            <w:left w:w="0" w:type="dxa"/>
            <w:bottom w:w="0" w:type="dxa"/>
            <w:right w:w="0" w:type="dxa"/>
          </w:tblCellMar>
        </w:tblPrEx>
        <w:trPr>
          <w:trHeight w:val="586"/>
        </w:trPr>
        <w:tc>
          <w:tcPr>
            <w:tcW w:w="416" w:type="dxa"/>
            <w:vMerge w:val="restart"/>
            <w:tcBorders>
              <w:top w:val="single" w:sz="4" w:space="0" w:color="000000"/>
              <w:left w:val="single" w:sz="4" w:space="0" w:color="000000"/>
              <w:bottom w:val="nil"/>
              <w:right w:val="single" w:sz="4" w:space="0" w:color="000000"/>
            </w:tcBorders>
            <w:textDirection w:val="btLr"/>
          </w:tcPr>
          <w:p>
            <w:pPr>
              <w:keepNext w:val="0"/>
              <w:keepLines w:val="0"/>
              <w:pageBreakBefore w:val="0"/>
              <w:widowControl w:val="0"/>
              <w:kinsoku w:val="0"/>
              <w:wordWrap/>
              <w:overflowPunct/>
              <w:topLinePunct w:val="0"/>
              <w:autoSpaceDE w:val="0"/>
              <w:autoSpaceDN w:val="0"/>
              <w:bidi w:val="0"/>
              <w:adjustRightInd w:val="0"/>
              <w:snapToGrid w:val="0"/>
              <w:spacing w:before="125" w:line="231" w:lineRule="auto"/>
              <w:ind w:left="1258"/>
              <w:textAlignment w:val="baseline"/>
              <w:rPr>
                <w:rFonts w:ascii="宋体" w:eastAsia="宋体" w:hAnsi="宋体" w:cs="宋体"/>
                <w:sz w:val="16"/>
                <w:szCs w:val="16"/>
              </w:rPr>
            </w:pPr>
            <w:r>
              <w:rPr>
                <w:rFonts w:ascii="宋体" w:eastAsia="宋体" w:hAnsi="宋体" w:cs="宋体"/>
                <w:spacing w:val="15"/>
                <w:w w:val="116"/>
                <w:sz w:val="16"/>
                <w:szCs w:val="16"/>
              </w:rPr>
              <w:t>服务级别定义阶段</w:t>
            </w:r>
          </w:p>
        </w:tc>
        <w:tc>
          <w:tcPr>
            <w:tcW w:w="1642" w:type="dxa"/>
            <w:tcBorders>
              <w:left w:val="single" w:sz="4"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82" w:line="221" w:lineRule="auto"/>
              <w:ind w:left="648"/>
              <w:textAlignment w:val="baseline"/>
              <w:rPr>
                <w:rFonts w:ascii="宋体" w:eastAsia="宋体" w:hAnsi="宋体" w:cs="宋体"/>
                <w:sz w:val="20"/>
                <w:szCs w:val="20"/>
              </w:rPr>
            </w:pPr>
            <w:r>
              <w:rPr>
                <w:rFonts w:ascii="宋体" w:eastAsia="宋体" w:hAnsi="宋体" w:cs="宋体"/>
                <w:spacing w:val="-13"/>
                <w:w w:val="97"/>
                <w:sz w:val="20"/>
                <w:szCs w:val="20"/>
              </w:rPr>
              <w:t>输入</w:t>
            </w:r>
          </w:p>
        </w:tc>
        <w:tc>
          <w:tcPr>
            <w:tcW w:w="3027" w:type="dxa"/>
            <w:gridSpan w:val="2"/>
          </w:tcPr>
          <w:p>
            <w:pPr>
              <w:keepNext w:val="0"/>
              <w:keepLines w:val="0"/>
              <w:pageBreakBefore w:val="0"/>
              <w:widowControl w:val="0"/>
              <w:kinsoku w:val="0"/>
              <w:wordWrap/>
              <w:overflowPunct/>
              <w:topLinePunct w:val="0"/>
              <w:autoSpaceDE w:val="0"/>
              <w:autoSpaceDN w:val="0"/>
              <w:bidi w:val="0"/>
              <w:adjustRightInd w:val="0"/>
              <w:snapToGrid w:val="0"/>
              <w:spacing w:before="181" w:line="222" w:lineRule="auto"/>
              <w:ind w:left="1179"/>
              <w:textAlignment w:val="baseline"/>
              <w:rPr>
                <w:rFonts w:ascii="宋体" w:eastAsia="宋体" w:hAnsi="宋体" w:cs="宋体"/>
                <w:sz w:val="20"/>
                <w:szCs w:val="20"/>
              </w:rPr>
            </w:pPr>
            <w:r>
              <w:rPr>
                <w:rFonts w:ascii="宋体" w:hAnsi="宋体" w:cs="宋体" w:hint="eastAsia"/>
                <w:spacing w:val="-26"/>
                <w:sz w:val="20"/>
                <w:szCs w:val="20"/>
                <w:lang w:val="en-US" w:eastAsia="zh-CN"/>
              </w:rPr>
              <w:t>运维</w:t>
            </w:r>
            <w:r>
              <w:rPr>
                <w:rFonts w:ascii="宋体" w:eastAsia="宋体" w:hAnsi="宋体" w:cs="宋体"/>
                <w:spacing w:val="-26"/>
                <w:sz w:val="20"/>
                <w:szCs w:val="20"/>
              </w:rPr>
              <w:t>项目经理</w:t>
            </w:r>
          </w:p>
        </w:tc>
        <w:tc>
          <w:tcPr>
            <w:tcW w:w="2271" w:type="dxa"/>
          </w:tcPr>
          <w:p>
            <w:pPr>
              <w:keepNext w:val="0"/>
              <w:keepLines w:val="0"/>
              <w:pageBreakBefore w:val="0"/>
              <w:widowControl w:val="0"/>
              <w:kinsoku w:val="0"/>
              <w:wordWrap/>
              <w:overflowPunct/>
              <w:topLinePunct w:val="0"/>
              <w:autoSpaceDE w:val="0"/>
              <w:autoSpaceDN w:val="0"/>
              <w:bidi w:val="0"/>
              <w:adjustRightInd w:val="0"/>
              <w:snapToGrid w:val="0"/>
              <w:spacing w:before="182" w:line="221" w:lineRule="auto"/>
              <w:ind w:left="630"/>
              <w:textAlignment w:val="baseline"/>
              <w:rPr>
                <w:rFonts w:ascii="宋体" w:eastAsia="宋体" w:hAnsi="宋体" w:cs="宋体"/>
                <w:sz w:val="20"/>
                <w:szCs w:val="20"/>
              </w:rPr>
            </w:pPr>
            <w:r>
              <w:rPr>
                <w:rFonts w:ascii="宋体" w:eastAsia="宋体" w:hAnsi="宋体" w:cs="宋体"/>
                <w:spacing w:val="-17"/>
                <w:w w:val="95"/>
                <w:sz w:val="20"/>
                <w:szCs w:val="20"/>
              </w:rPr>
              <w:t>服务级别经理</w:t>
            </w:r>
          </w:p>
        </w:tc>
        <w:tc>
          <w:tcPr>
            <w:tcW w:w="1808" w:type="dxa"/>
          </w:tcPr>
          <w:p>
            <w:pPr>
              <w:keepNext w:val="0"/>
              <w:keepLines w:val="0"/>
              <w:pageBreakBefore w:val="0"/>
              <w:widowControl w:val="0"/>
              <w:kinsoku w:val="0"/>
              <w:wordWrap/>
              <w:overflowPunct/>
              <w:topLinePunct w:val="0"/>
              <w:autoSpaceDE w:val="0"/>
              <w:autoSpaceDN w:val="0"/>
              <w:bidi w:val="0"/>
              <w:adjustRightInd w:val="0"/>
              <w:snapToGrid w:val="0"/>
              <w:spacing w:before="182" w:line="221" w:lineRule="auto"/>
              <w:ind w:left="732"/>
              <w:textAlignment w:val="baseline"/>
              <w:rPr>
                <w:rFonts w:ascii="宋体" w:eastAsia="宋体" w:hAnsi="宋体" w:cs="宋体"/>
                <w:sz w:val="20"/>
                <w:szCs w:val="20"/>
              </w:rPr>
            </w:pPr>
            <w:r>
              <w:rPr>
                <w:rFonts w:ascii="宋体" w:eastAsia="宋体" w:hAnsi="宋体" w:cs="宋体"/>
                <w:spacing w:val="-19"/>
                <w:sz w:val="20"/>
                <w:szCs w:val="20"/>
              </w:rPr>
              <w:t>输出</w:t>
            </w:r>
          </w:p>
        </w:tc>
      </w:tr>
      <w:tr>
        <w:tblPrEx>
          <w:tblW w:w="9164" w:type="dxa"/>
          <w:tblInd w:w="50" w:type="dxa"/>
          <w:tblLayout w:type="fixed"/>
          <w:tblCellMar>
            <w:top w:w="0" w:type="dxa"/>
            <w:left w:w="0" w:type="dxa"/>
            <w:bottom w:w="0" w:type="dxa"/>
            <w:right w:w="0" w:type="dxa"/>
          </w:tblCellMar>
        </w:tblPrEx>
        <w:trPr>
          <w:trHeight w:val="2189"/>
        </w:trPr>
        <w:tc>
          <w:tcPr>
            <w:tcW w:w="416" w:type="dxa"/>
            <w:vMerge/>
            <w:tcBorders>
              <w:top w:val="nil"/>
              <w:left w:val="single" w:sz="4" w:space="0" w:color="000000"/>
              <w:bottom w:val="nil"/>
              <w:right w:val="single" w:sz="4" w:space="0" w:color="000000"/>
            </w:tcBorders>
            <w:textDirection w:val="btLr"/>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42" w:type="dxa"/>
            <w:vMerge w:val="restart"/>
            <w:tcBorders>
              <w:left w:val="single" w:sz="4" w:space="0" w:color="000000"/>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357"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358"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3" w:line="227" w:lineRule="auto"/>
              <w:ind w:left="591"/>
              <w:textAlignment w:val="baseline"/>
              <w:rPr>
                <w:rFonts w:ascii="宋体" w:eastAsia="宋体" w:hAnsi="宋体" w:cs="宋体"/>
                <w:sz w:val="13"/>
                <w:szCs w:val="13"/>
              </w:rPr>
            </w:pPr>
            <w:r>
              <w:rPr>
                <w:rFonts w:ascii="宋体" w:eastAsia="宋体" w:hAnsi="宋体" w:cs="宋体"/>
                <w:spacing w:val="-13"/>
                <w:w w:val="99"/>
                <w:sz w:val="13"/>
                <w:szCs w:val="13"/>
              </w:rPr>
              <w:t>客户需求</w:t>
            </w:r>
          </w:p>
          <w:p>
            <w:pPr>
              <w:keepNext w:val="0"/>
              <w:keepLines w:val="0"/>
              <w:pageBreakBefore w:val="0"/>
              <w:widowControl w:val="0"/>
              <w:kinsoku w:val="0"/>
              <w:wordWrap/>
              <w:overflowPunct/>
              <w:topLinePunct w:val="0"/>
              <w:autoSpaceDE w:val="0"/>
              <w:autoSpaceDN w:val="0"/>
              <w:bidi w:val="0"/>
              <w:adjustRightInd w:val="0"/>
              <w:snapToGrid w:val="0"/>
              <w:spacing w:before="17" w:line="226" w:lineRule="auto"/>
              <w:ind w:left="590"/>
              <w:textAlignment w:val="baseline"/>
              <w:rPr>
                <w:rFonts w:ascii="宋体" w:eastAsia="宋体" w:hAnsi="宋体" w:cs="宋体"/>
                <w:sz w:val="13"/>
                <w:szCs w:val="13"/>
              </w:rPr>
            </w:pPr>
            <w:r>
              <w:rPr>
                <w:rFonts w:ascii="宋体" w:eastAsia="宋体" w:hAnsi="宋体" w:cs="宋体"/>
                <w:spacing w:val="-10"/>
                <w:w w:val="97"/>
                <w:sz w:val="13"/>
                <w:szCs w:val="13"/>
              </w:rPr>
              <w:t>服务变更</w:t>
            </w:r>
          </w:p>
          <w:p>
            <w:pPr>
              <w:keepNext w:val="0"/>
              <w:keepLines w:val="0"/>
              <w:pageBreakBefore w:val="0"/>
              <w:widowControl w:val="0"/>
              <w:kinsoku w:val="0"/>
              <w:wordWrap/>
              <w:overflowPunct/>
              <w:topLinePunct w:val="0"/>
              <w:autoSpaceDE w:val="0"/>
              <w:autoSpaceDN w:val="0"/>
              <w:bidi w:val="0"/>
              <w:adjustRightInd w:val="0"/>
              <w:snapToGrid w:val="0"/>
              <w:spacing w:before="18" w:line="226" w:lineRule="auto"/>
              <w:ind w:left="477"/>
              <w:textAlignment w:val="baseline"/>
              <w:rPr>
                <w:rFonts w:ascii="宋体" w:eastAsia="宋体" w:hAnsi="宋体" w:cs="宋体"/>
                <w:sz w:val="13"/>
                <w:szCs w:val="13"/>
              </w:rPr>
            </w:pPr>
            <w:r>
              <w:rPr>
                <w:rFonts w:ascii="宋体" w:eastAsia="宋体" w:hAnsi="宋体" w:cs="宋体"/>
                <w:spacing w:val="-11"/>
                <w:w w:val="97"/>
                <w:sz w:val="13"/>
                <w:szCs w:val="13"/>
              </w:rPr>
              <w:t>服务能力变动</w:t>
            </w:r>
          </w:p>
          <w:p>
            <w:pPr>
              <w:keepNext w:val="0"/>
              <w:keepLines w:val="0"/>
              <w:pageBreakBefore w:val="0"/>
              <w:widowControl w:val="0"/>
              <w:kinsoku w:val="0"/>
              <w:wordWrap/>
              <w:overflowPunct/>
              <w:topLinePunct w:val="0"/>
              <w:autoSpaceDE w:val="0"/>
              <w:autoSpaceDN w:val="0"/>
              <w:bidi w:val="0"/>
              <w:adjustRightInd w:val="0"/>
              <w:snapToGrid w:val="0"/>
              <w:spacing w:before="17" w:line="252" w:lineRule="auto"/>
              <w:ind w:left="589" w:right="482" w:hanging="108"/>
              <w:textAlignment w:val="baseline"/>
              <w:rPr>
                <w:rFonts w:ascii="宋体" w:eastAsia="宋体" w:hAnsi="宋体" w:cs="宋体"/>
                <w:sz w:val="13"/>
                <w:szCs w:val="13"/>
              </w:rPr>
            </w:pPr>
            <w:r>
              <w:rPr>
                <w:rFonts w:ascii="宋体" w:eastAsia="宋体" w:hAnsi="宋体" w:cs="宋体"/>
                <w:spacing w:val="-11"/>
                <w:w w:val="94"/>
                <w:sz w:val="13"/>
                <w:szCs w:val="13"/>
              </w:rPr>
              <w:t>资源支持变动</w:t>
            </w:r>
            <w:r>
              <w:rPr>
                <w:rFonts w:ascii="宋体" w:eastAsia="宋体" w:hAnsi="宋体" w:cs="宋体"/>
                <w:spacing w:val="-10"/>
                <w:w w:val="97"/>
                <w:sz w:val="13"/>
                <w:szCs w:val="13"/>
              </w:rPr>
              <w:t>服务增加</w:t>
            </w:r>
          </w:p>
          <w:p>
            <w:pPr>
              <w:keepNext w:val="0"/>
              <w:keepLines w:val="0"/>
              <w:pageBreakBefore w:val="0"/>
              <w:widowControl w:val="0"/>
              <w:kinsoku w:val="0"/>
              <w:wordWrap/>
              <w:overflowPunct/>
              <w:topLinePunct w:val="0"/>
              <w:autoSpaceDE w:val="0"/>
              <w:autoSpaceDN w:val="0"/>
              <w:bidi w:val="0"/>
              <w:adjustRightInd w:val="0"/>
              <w:snapToGrid w:val="0"/>
              <w:spacing w:line="226" w:lineRule="auto"/>
              <w:ind w:left="421"/>
              <w:textAlignment w:val="baseline"/>
              <w:rPr>
                <w:rFonts w:ascii="宋体" w:eastAsia="宋体" w:hAnsi="宋体" w:cs="宋体"/>
                <w:sz w:val="13"/>
                <w:szCs w:val="13"/>
              </w:rPr>
            </w:pPr>
            <w:r>
              <w:rPr>
                <w:rFonts w:ascii="宋体" w:eastAsia="宋体" w:hAnsi="宋体" w:cs="宋体"/>
                <w:spacing w:val="-16"/>
                <w:sz w:val="13"/>
                <w:szCs w:val="13"/>
              </w:rPr>
              <w:t>组织级服务目录</w:t>
            </w:r>
          </w:p>
        </w:tc>
        <w:tc>
          <w:tcPr>
            <w:tcW w:w="3027" w:type="dxa"/>
            <w:gridSpan w:val="2"/>
            <w:tcBorders>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297"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98"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7" w:lineRule="auto"/>
              <w:ind w:left="1887"/>
              <w:textAlignment w:val="baseline"/>
              <w:rPr>
                <w:rFonts w:ascii="宋体" w:eastAsia="宋体" w:hAnsi="宋体" w:cs="宋体"/>
                <w:sz w:val="13"/>
                <w:szCs w:val="13"/>
              </w:rPr>
            </w:pPr>
            <w:r>
              <w:rPr>
                <w:rFonts w:ascii="宋体" w:eastAsia="宋体" w:hAnsi="宋体" w:cs="宋体"/>
                <w:spacing w:val="-12"/>
                <w:w w:val="97"/>
                <w:sz w:val="13"/>
                <w:szCs w:val="13"/>
              </w:rPr>
              <w:t>识别客户需求</w:t>
            </w:r>
          </w:p>
          <w:p>
            <w:pPr>
              <w:pStyle w:val="TableText"/>
              <w:keepNext w:val="0"/>
              <w:keepLines w:val="0"/>
              <w:pageBreakBefore w:val="0"/>
              <w:widowControl w:val="0"/>
              <w:kinsoku w:val="0"/>
              <w:wordWrap/>
              <w:overflowPunct/>
              <w:topLinePunct w:val="0"/>
              <w:autoSpaceDE w:val="0"/>
              <w:autoSpaceDN w:val="0"/>
              <w:bidi w:val="0"/>
              <w:adjustRightInd w:val="0"/>
              <w:snapToGrid w:val="0"/>
              <w:spacing w:line="253"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54"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left="1889"/>
              <w:textAlignment w:val="baseline"/>
              <w:rPr>
                <w:rFonts w:ascii="宋体" w:eastAsia="宋体" w:hAnsi="宋体" w:cs="宋体"/>
                <w:sz w:val="13"/>
                <w:szCs w:val="13"/>
              </w:rPr>
            </w:pPr>
            <w:r>
              <w:rPr>
                <w:rFonts w:ascii="宋体" w:eastAsia="宋体" w:hAnsi="宋体" w:cs="宋体"/>
                <w:spacing w:val="-12"/>
                <w:w w:val="97"/>
                <w:sz w:val="13"/>
                <w:szCs w:val="13"/>
              </w:rPr>
              <w:t>定义服务级别</w:t>
            </w:r>
          </w:p>
          <w:p>
            <w:pPr>
              <w:keepNext w:val="0"/>
              <w:keepLines w:val="0"/>
              <w:pageBreakBefore w:val="0"/>
              <w:widowControl w:val="0"/>
              <w:kinsoku w:val="0"/>
              <w:wordWrap/>
              <w:overflowPunct/>
              <w:topLinePunct w:val="0"/>
              <w:autoSpaceDE w:val="0"/>
              <w:autoSpaceDN w:val="0"/>
              <w:bidi w:val="0"/>
              <w:adjustRightInd w:val="0"/>
              <w:snapToGrid w:val="0"/>
              <w:spacing w:before="117" w:line="227" w:lineRule="auto"/>
              <w:ind w:left="405"/>
              <w:textAlignment w:val="baseline"/>
              <w:rPr>
                <w:rFonts w:ascii="宋体" w:eastAsia="宋体" w:hAnsi="宋体" w:cs="宋体"/>
                <w:sz w:val="13"/>
                <w:szCs w:val="13"/>
              </w:rPr>
            </w:pPr>
            <w:r>
              <w:rPr>
                <w:rFonts w:ascii="宋体" w:eastAsia="宋体" w:hAnsi="宋体" w:cs="宋体"/>
                <w:spacing w:val="-13"/>
                <w:w w:val="98"/>
                <w:sz w:val="13"/>
                <w:szCs w:val="13"/>
              </w:rPr>
              <w:t>调整下一周期的</w:t>
            </w:r>
          </w:p>
          <w:p>
            <w:pPr>
              <w:keepNext w:val="0"/>
              <w:keepLines w:val="0"/>
              <w:pageBreakBefore w:val="0"/>
              <w:widowControl w:val="0"/>
              <w:kinsoku w:val="0"/>
              <w:wordWrap/>
              <w:overflowPunct/>
              <w:topLinePunct w:val="0"/>
              <w:autoSpaceDE w:val="0"/>
              <w:autoSpaceDN w:val="0"/>
              <w:bidi w:val="0"/>
              <w:adjustRightInd w:val="0"/>
              <w:snapToGrid w:val="0"/>
              <w:spacing w:before="23" w:line="187" w:lineRule="auto"/>
              <w:ind w:left="716"/>
              <w:textAlignment w:val="baseline"/>
              <w:rPr>
                <w:rFonts w:ascii="宋体" w:eastAsia="宋体" w:hAnsi="宋体" w:cs="宋体"/>
                <w:sz w:val="13"/>
                <w:szCs w:val="13"/>
              </w:rPr>
            </w:pPr>
            <w:r>
              <w:rPr>
                <w:rFonts w:ascii="宋体" w:eastAsia="宋体" w:hAnsi="宋体" w:cs="宋体"/>
                <w:spacing w:val="-8"/>
                <w:sz w:val="13"/>
                <w:szCs w:val="13"/>
              </w:rPr>
              <w:t>SLA</w:t>
            </w:r>
          </w:p>
        </w:tc>
        <w:tc>
          <w:tcPr>
            <w:tcW w:w="2271" w:type="dxa"/>
            <w:vMerge w:val="restart"/>
            <w:tcBorders>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08" w:type="dxa"/>
            <w:vMerge w:val="restart"/>
            <w:tcBorders>
              <w:bottom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269"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69"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3" w:line="226" w:lineRule="auto"/>
              <w:ind w:left="481"/>
              <w:textAlignment w:val="baseline"/>
              <w:rPr>
                <w:rFonts w:ascii="宋体" w:eastAsia="宋体" w:hAnsi="宋体" w:cs="宋体"/>
                <w:sz w:val="13"/>
                <w:szCs w:val="13"/>
              </w:rPr>
            </w:pPr>
            <w:r>
              <w:rPr>
                <w:rFonts w:ascii="宋体" w:eastAsia="宋体" w:hAnsi="宋体" w:cs="宋体"/>
                <w:spacing w:val="-16"/>
                <w:sz w:val="13"/>
                <w:szCs w:val="13"/>
              </w:rPr>
              <w:t>项目级服务目录</w:t>
            </w:r>
          </w:p>
          <w:p>
            <w:pPr>
              <w:pStyle w:val="TableText"/>
              <w:keepNext w:val="0"/>
              <w:keepLines w:val="0"/>
              <w:pageBreakBefore w:val="0"/>
              <w:widowControl w:val="0"/>
              <w:kinsoku w:val="0"/>
              <w:wordWrap/>
              <w:overflowPunct/>
              <w:topLinePunct w:val="0"/>
              <w:autoSpaceDE w:val="0"/>
              <w:autoSpaceDN w:val="0"/>
              <w:bidi w:val="0"/>
              <w:adjustRightInd w:val="0"/>
              <w:snapToGrid w:val="0"/>
              <w:spacing w:line="255"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56"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left="536"/>
              <w:textAlignment w:val="baseline"/>
              <w:rPr>
                <w:rFonts w:ascii="宋体" w:eastAsia="宋体" w:hAnsi="宋体" w:cs="宋体"/>
                <w:sz w:val="13"/>
                <w:szCs w:val="13"/>
              </w:rPr>
            </w:pPr>
            <w:r>
              <w:rPr>
                <w:rFonts w:ascii="宋体" w:eastAsia="宋体" w:hAnsi="宋体" w:cs="宋体"/>
                <w:spacing w:val="-11"/>
                <w:w w:val="97"/>
                <w:sz w:val="13"/>
                <w:szCs w:val="13"/>
              </w:rPr>
              <w:t>服务级别协议</w:t>
            </w:r>
          </w:p>
          <w:p>
            <w:pPr>
              <w:pStyle w:val="TableText"/>
              <w:keepNext w:val="0"/>
              <w:keepLines w:val="0"/>
              <w:pageBreakBefore w:val="0"/>
              <w:widowControl w:val="0"/>
              <w:kinsoku w:val="0"/>
              <w:wordWrap/>
              <w:overflowPunct/>
              <w:topLinePunct w:val="0"/>
              <w:autoSpaceDE w:val="0"/>
              <w:autoSpaceDN w:val="0"/>
              <w:bidi w:val="0"/>
              <w:adjustRightInd w:val="0"/>
              <w:snapToGrid w:val="0"/>
              <w:spacing w:line="279"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firstLine="1260" w:firstLineChars="600"/>
              <w:textAlignment w:val="baseline"/>
              <w:rPr>
                <w:rFonts w:ascii="宋体" w:eastAsia="宋体" w:hAnsi="宋体" w:cs="宋体"/>
                <w:spacing w:val="-14"/>
                <w:sz w:val="13"/>
                <w:szCs w:val="13"/>
              </w:rPr>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firstLine="1260" w:firstLineChars="600"/>
              <w:textAlignment w:val="baseline"/>
              <w:rPr>
                <w:rFonts w:ascii="宋体" w:eastAsia="宋体" w:hAnsi="宋体" w:cs="宋体"/>
                <w:sz w:val="13"/>
                <w:szCs w:val="13"/>
              </w:rPr>
            </w:pPr>
            <w:r>
              <w:rPr>
                <w:rFonts w:ascii="宋体" w:eastAsia="宋体" w:hAnsi="宋体" w:cs="宋体"/>
                <w:spacing w:val="-14"/>
                <w:sz w:val="13"/>
                <w:szCs w:val="13"/>
              </w:rPr>
              <w:t>服务合同</w:t>
            </w:r>
          </w:p>
          <w:p>
            <w:pPr>
              <w:pStyle w:val="TableText"/>
              <w:keepNext w:val="0"/>
              <w:keepLines w:val="0"/>
              <w:pageBreakBefore w:val="0"/>
              <w:widowControl w:val="0"/>
              <w:kinsoku w:val="0"/>
              <w:wordWrap/>
              <w:overflowPunct/>
              <w:topLinePunct w:val="0"/>
              <w:autoSpaceDE w:val="0"/>
              <w:autoSpaceDN w:val="0"/>
              <w:bidi w:val="0"/>
              <w:adjustRightInd w:val="0"/>
              <w:snapToGrid w:val="0"/>
              <w:spacing w:line="267"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firstLine="1260" w:firstLineChars="600"/>
              <w:textAlignment w:val="baseline"/>
              <w:rPr>
                <w:rFonts w:ascii="宋体" w:eastAsia="宋体" w:hAnsi="宋体" w:cs="宋体"/>
                <w:spacing w:val="-14"/>
                <w:sz w:val="13"/>
                <w:szCs w:val="13"/>
              </w:rPr>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firstLine="1260" w:firstLineChars="600"/>
              <w:textAlignment w:val="baseline"/>
              <w:rPr>
                <w:rFonts w:ascii="宋体" w:eastAsia="宋体" w:hAnsi="宋体" w:cs="宋体"/>
                <w:sz w:val="13"/>
                <w:szCs w:val="13"/>
              </w:rPr>
            </w:pPr>
            <w:r>
              <w:rPr>
                <w:rFonts w:ascii="宋体" w:eastAsia="宋体" w:hAnsi="宋体" w:cs="宋体"/>
                <w:spacing w:val="-14"/>
                <w:sz w:val="13"/>
                <w:szCs w:val="13"/>
              </w:rPr>
              <w:t>支持合同</w:t>
            </w:r>
          </w:p>
        </w:tc>
      </w:tr>
      <w:tr>
        <w:tblPrEx>
          <w:tblW w:w="9164" w:type="dxa"/>
          <w:tblInd w:w="50" w:type="dxa"/>
          <w:tblLayout w:type="fixed"/>
          <w:tblCellMar>
            <w:top w:w="0" w:type="dxa"/>
            <w:left w:w="0" w:type="dxa"/>
            <w:bottom w:w="0" w:type="dxa"/>
            <w:right w:w="0" w:type="dxa"/>
          </w:tblCellMar>
        </w:tblPrEx>
        <w:trPr>
          <w:trHeight w:val="1323"/>
        </w:trPr>
        <w:tc>
          <w:tcPr>
            <w:tcW w:w="416" w:type="dxa"/>
            <w:vMerge/>
            <w:tcBorders>
              <w:top w:val="nil"/>
              <w:left w:val="single" w:sz="4" w:space="0" w:color="000000"/>
              <w:bottom w:val="dashed" w:sz="14" w:space="0" w:color="000000"/>
              <w:right w:val="single" w:sz="4" w:space="0" w:color="000000"/>
            </w:tcBorders>
            <w:textDirection w:val="btLr"/>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42" w:type="dxa"/>
            <w:vMerge/>
            <w:tcBorders>
              <w:top w:val="nil"/>
              <w:left w:val="single" w:sz="4" w:space="0" w:color="000000"/>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88" w:type="dxa"/>
            <w:tcBorders>
              <w:top w:val="nil"/>
              <w:bottom w:val="dashed" w:sz="14" w:space="0" w:color="000000"/>
              <w:right w:val="nil"/>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349"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5" w:lineRule="auto"/>
              <w:ind w:left="415"/>
              <w:textAlignment w:val="baseline"/>
              <w:rPr>
                <w:rFonts w:ascii="宋体" w:eastAsia="宋体" w:hAnsi="宋体" w:cs="宋体"/>
                <w:sz w:val="13"/>
                <w:szCs w:val="13"/>
              </w:rPr>
            </w:pPr>
            <w:r>
              <w:rPr>
                <w:rFonts w:ascii="宋体" w:eastAsia="宋体" w:hAnsi="宋体" w:cs="宋体"/>
                <w:spacing w:val="-11"/>
                <w:w w:val="95"/>
                <w:sz w:val="13"/>
                <w:szCs w:val="13"/>
              </w:rPr>
              <w:t>同客户进行评价</w:t>
            </w:r>
          </w:p>
        </w:tc>
        <w:tc>
          <w:tcPr>
            <w:tcW w:w="1539" w:type="dxa"/>
            <w:tcBorders>
              <w:top w:val="nil"/>
              <w:left w:val="nil"/>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244"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3" w:line="231" w:lineRule="auto"/>
              <w:ind w:left="289" w:right="347" w:firstLine="27"/>
              <w:textAlignment w:val="baseline"/>
              <w:rPr>
                <w:rFonts w:ascii="宋体" w:eastAsia="宋体" w:hAnsi="宋体" w:cs="宋体"/>
                <w:sz w:val="13"/>
                <w:szCs w:val="13"/>
              </w:rPr>
            </w:pPr>
            <w:r>
              <w:rPr>
                <w:rFonts w:ascii="宋体" w:eastAsia="宋体" w:hAnsi="宋体" w:cs="宋体"/>
                <w:spacing w:val="-12"/>
                <w:sz w:val="13"/>
                <w:szCs w:val="13"/>
              </w:rPr>
              <w:t>SLA签约：协商、</w:t>
            </w:r>
            <w:r>
              <w:rPr>
                <w:rFonts w:ascii="宋体" w:eastAsia="宋体" w:hAnsi="宋体" w:cs="宋体"/>
                <w:spacing w:val="-14"/>
                <w:w w:val="97"/>
                <w:sz w:val="13"/>
                <w:szCs w:val="13"/>
              </w:rPr>
              <w:t>草拟、修订、终止</w:t>
            </w:r>
          </w:p>
        </w:tc>
        <w:tc>
          <w:tcPr>
            <w:tcW w:w="2271" w:type="dxa"/>
            <w:vMerge/>
            <w:tcBorders>
              <w:top w:val="nil"/>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808" w:type="dxa"/>
            <w:vMerge/>
            <w:tcBorders>
              <w:top w:val="nil"/>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164" w:type="dxa"/>
          <w:tblInd w:w="50" w:type="dxa"/>
          <w:tblLayout w:type="fixed"/>
          <w:tblCellMar>
            <w:top w:w="0" w:type="dxa"/>
            <w:left w:w="0" w:type="dxa"/>
            <w:bottom w:w="0" w:type="dxa"/>
            <w:right w:w="0" w:type="dxa"/>
          </w:tblCellMar>
        </w:tblPrEx>
        <w:trPr>
          <w:trHeight w:val="1753"/>
        </w:trPr>
        <w:tc>
          <w:tcPr>
            <w:tcW w:w="416" w:type="dxa"/>
            <w:tcBorders>
              <w:top w:val="dashed" w:sz="14" w:space="0" w:color="000000"/>
              <w:left w:val="single" w:sz="4" w:space="0" w:color="000000"/>
              <w:bottom w:val="dashed" w:sz="14" w:space="0" w:color="000000"/>
              <w:right w:val="single" w:sz="4" w:space="0" w:color="000000"/>
            </w:tcBorders>
            <w:textDirection w:val="btLr"/>
          </w:tcPr>
          <w:p>
            <w:pPr>
              <w:keepNext w:val="0"/>
              <w:keepLines w:val="0"/>
              <w:pageBreakBefore w:val="0"/>
              <w:widowControl w:val="0"/>
              <w:kinsoku w:val="0"/>
              <w:wordWrap/>
              <w:overflowPunct/>
              <w:topLinePunct w:val="0"/>
              <w:autoSpaceDE w:val="0"/>
              <w:autoSpaceDN w:val="0"/>
              <w:bidi w:val="0"/>
              <w:adjustRightInd w:val="0"/>
              <w:snapToGrid w:val="0"/>
              <w:spacing w:before="125" w:line="231" w:lineRule="auto"/>
              <w:ind w:left="94"/>
              <w:textAlignment w:val="baseline"/>
              <w:rPr>
                <w:rFonts w:ascii="宋体" w:eastAsia="宋体" w:hAnsi="宋体" w:cs="宋体"/>
                <w:sz w:val="16"/>
                <w:szCs w:val="16"/>
              </w:rPr>
            </w:pPr>
            <w:r>
              <w:rPr>
                <w:rFonts w:ascii="宋体" w:eastAsia="宋体" w:hAnsi="宋体" w:cs="宋体"/>
                <w:spacing w:val="15"/>
                <w:w w:val="116"/>
                <w:sz w:val="16"/>
                <w:szCs w:val="16"/>
              </w:rPr>
              <w:t>服务级别监控阶段</w:t>
            </w:r>
          </w:p>
        </w:tc>
        <w:tc>
          <w:tcPr>
            <w:tcW w:w="1642" w:type="dxa"/>
            <w:tcBorders>
              <w:top w:val="dashed" w:sz="14" w:space="0" w:color="000000"/>
              <w:left w:val="single" w:sz="4" w:space="0" w:color="000000"/>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027" w:type="dxa"/>
            <w:gridSpan w:val="2"/>
            <w:tcBorders>
              <w:top w:val="dashed" w:sz="14" w:space="0" w:color="000000"/>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71" w:type="dxa"/>
            <w:tcBorders>
              <w:top w:val="dashed" w:sz="14" w:space="0" w:color="000000"/>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342"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342"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left="942"/>
              <w:textAlignment w:val="baseline"/>
              <w:rPr>
                <w:rFonts w:ascii="宋体" w:eastAsia="宋体" w:hAnsi="宋体" w:cs="宋体"/>
                <w:sz w:val="13"/>
                <w:szCs w:val="13"/>
              </w:rPr>
            </w:pPr>
            <w:r>
              <w:rPr>
                <w:rFonts w:ascii="宋体" w:eastAsia="宋体" w:hAnsi="宋体" w:cs="宋体"/>
                <w:spacing w:val="-10"/>
                <w:w w:val="96"/>
                <w:sz w:val="13"/>
                <w:szCs w:val="13"/>
              </w:rPr>
              <w:t>服务级别监控</w:t>
            </w:r>
          </w:p>
        </w:tc>
        <w:tc>
          <w:tcPr>
            <w:tcW w:w="1808" w:type="dxa"/>
            <w:tcBorders>
              <w:top w:val="dashed" w:sz="14" w:space="0" w:color="000000"/>
              <w:bottom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315"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316"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5" w:lineRule="auto"/>
              <w:ind w:left="674"/>
              <w:textAlignment w:val="baseline"/>
              <w:rPr>
                <w:rFonts w:ascii="宋体" w:eastAsia="宋体" w:hAnsi="宋体" w:cs="宋体"/>
                <w:sz w:val="13"/>
                <w:szCs w:val="13"/>
              </w:rPr>
            </w:pPr>
            <w:r>
              <w:rPr>
                <w:rFonts w:ascii="宋体" w:eastAsia="宋体" w:hAnsi="宋体" w:cs="宋体"/>
                <w:spacing w:val="-10"/>
                <w:w w:val="97"/>
                <w:sz w:val="13"/>
                <w:szCs w:val="13"/>
              </w:rPr>
              <w:t>服务报告</w:t>
            </w:r>
          </w:p>
        </w:tc>
      </w:tr>
      <w:tr>
        <w:tblPrEx>
          <w:tblW w:w="9164" w:type="dxa"/>
          <w:tblInd w:w="50" w:type="dxa"/>
          <w:tblLayout w:type="fixed"/>
          <w:tblCellMar>
            <w:top w:w="0" w:type="dxa"/>
            <w:left w:w="0" w:type="dxa"/>
            <w:bottom w:w="0" w:type="dxa"/>
            <w:right w:w="0" w:type="dxa"/>
          </w:tblCellMar>
        </w:tblPrEx>
        <w:trPr>
          <w:trHeight w:val="1831"/>
        </w:trPr>
        <w:tc>
          <w:tcPr>
            <w:tcW w:w="416" w:type="dxa"/>
            <w:tcBorders>
              <w:top w:val="dashed" w:sz="14" w:space="0" w:color="000000"/>
              <w:left w:val="single" w:sz="4" w:space="0" w:color="000000"/>
              <w:bottom w:val="single" w:sz="4" w:space="0" w:color="000000"/>
              <w:right w:val="single" w:sz="4" w:space="0" w:color="000000"/>
            </w:tcBorders>
            <w:textDirection w:val="btLr"/>
          </w:tcPr>
          <w:p>
            <w:pPr>
              <w:keepNext w:val="0"/>
              <w:keepLines w:val="0"/>
              <w:pageBreakBefore w:val="0"/>
              <w:widowControl w:val="0"/>
              <w:kinsoku w:val="0"/>
              <w:wordWrap/>
              <w:overflowPunct/>
              <w:topLinePunct w:val="0"/>
              <w:autoSpaceDE w:val="0"/>
              <w:autoSpaceDN w:val="0"/>
              <w:bidi w:val="0"/>
              <w:adjustRightInd w:val="0"/>
              <w:snapToGrid w:val="0"/>
              <w:spacing w:before="125" w:line="231" w:lineRule="auto"/>
              <w:ind w:left="136"/>
              <w:textAlignment w:val="baseline"/>
              <w:rPr>
                <w:rFonts w:ascii="宋体" w:eastAsia="宋体" w:hAnsi="宋体" w:cs="宋体"/>
                <w:sz w:val="16"/>
                <w:szCs w:val="16"/>
              </w:rPr>
            </w:pPr>
            <w:r>
              <w:rPr>
                <w:rFonts w:ascii="宋体" w:eastAsia="宋体" w:hAnsi="宋体" w:cs="宋体"/>
                <w:spacing w:val="15"/>
                <w:w w:val="116"/>
                <w:sz w:val="16"/>
                <w:szCs w:val="16"/>
              </w:rPr>
              <w:t>服务级别评审阶段</w:t>
            </w:r>
          </w:p>
        </w:tc>
        <w:tc>
          <w:tcPr>
            <w:tcW w:w="1642" w:type="dxa"/>
            <w:tcBorders>
              <w:top w:val="dashed" w:sz="14" w:space="0" w:color="000000"/>
              <w:left w:val="single" w:sz="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3027" w:type="dxa"/>
            <w:gridSpan w:val="2"/>
            <w:tcBorders>
              <w:top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271" w:type="dxa"/>
            <w:tcBorders>
              <w:top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284"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84"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84"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3" w:line="226" w:lineRule="auto"/>
              <w:ind w:left="942"/>
              <w:textAlignment w:val="baseline"/>
              <w:rPr>
                <w:rFonts w:ascii="宋体" w:eastAsia="宋体" w:hAnsi="宋体" w:cs="宋体"/>
                <w:sz w:val="13"/>
                <w:szCs w:val="13"/>
              </w:rPr>
            </w:pPr>
            <w:r>
              <w:rPr>
                <w:rFonts w:ascii="宋体" w:eastAsia="宋体" w:hAnsi="宋体" w:cs="宋体"/>
                <w:spacing w:val="-12"/>
                <w:w w:val="97"/>
                <w:sz w:val="13"/>
                <w:szCs w:val="13"/>
              </w:rPr>
              <w:t>服务级别评审</w:t>
            </w:r>
          </w:p>
        </w:tc>
        <w:tc>
          <w:tcPr>
            <w:tcW w:w="1808" w:type="dxa"/>
            <w:tcBorders>
              <w:top w:val="dashed" w:sz="14"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line="266"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67" w:lineRule="auto"/>
              <w:textAlignment w:val="baseline"/>
            </w:pPr>
          </w:p>
          <w:p>
            <w:pPr>
              <w:pStyle w:val="TableText"/>
              <w:keepNext w:val="0"/>
              <w:keepLines w:val="0"/>
              <w:pageBreakBefore w:val="0"/>
              <w:widowControl w:val="0"/>
              <w:kinsoku w:val="0"/>
              <w:wordWrap/>
              <w:overflowPunct/>
              <w:topLinePunct w:val="0"/>
              <w:autoSpaceDE w:val="0"/>
              <w:autoSpaceDN w:val="0"/>
              <w:bidi w:val="0"/>
              <w:adjustRightInd w:val="0"/>
              <w:snapToGrid w:val="0"/>
              <w:spacing w:line="267" w:lineRule="auto"/>
              <w:textAlignment w:val="baseline"/>
            </w:pPr>
          </w:p>
          <w:p>
            <w:pPr>
              <w:keepNext w:val="0"/>
              <w:keepLines w:val="0"/>
              <w:pageBreakBefore w:val="0"/>
              <w:widowControl w:val="0"/>
              <w:kinsoku w:val="0"/>
              <w:wordWrap/>
              <w:overflowPunct/>
              <w:topLinePunct w:val="0"/>
              <w:autoSpaceDE w:val="0"/>
              <w:autoSpaceDN w:val="0"/>
              <w:bidi w:val="0"/>
              <w:adjustRightInd w:val="0"/>
              <w:snapToGrid w:val="0"/>
              <w:spacing w:before="42" w:line="226" w:lineRule="auto"/>
              <w:ind w:left="448"/>
              <w:textAlignment w:val="baseline"/>
              <w:rPr>
                <w:rFonts w:ascii="宋体" w:eastAsia="宋体" w:hAnsi="宋体" w:cs="宋体"/>
                <w:sz w:val="13"/>
                <w:szCs w:val="13"/>
              </w:rPr>
            </w:pPr>
            <w:r>
              <w:rPr>
                <w:rFonts w:ascii="宋体" w:eastAsia="宋体" w:hAnsi="宋体" w:cs="宋体"/>
                <w:spacing w:val="-11"/>
                <w:w w:val="96"/>
                <w:sz w:val="13"/>
                <w:szCs w:val="13"/>
              </w:rPr>
              <w:t>服务级别评审记录</w:t>
            </w:r>
          </w:p>
        </w:tc>
      </w:tr>
    </w:tbl>
    <w:p>
      <w:pPr>
        <w:keepNext w:val="0"/>
        <w:keepLines w:val="0"/>
        <w:pageBreakBefore w:val="0"/>
        <w:widowControl w:val="0"/>
        <w:kinsoku w:val="0"/>
        <w:wordWrap/>
        <w:overflowPunct/>
        <w:topLinePunct w:val="0"/>
        <w:autoSpaceDE w:val="0"/>
        <w:autoSpaceDN w:val="0"/>
        <w:bidi w:val="0"/>
        <w:adjustRightInd w:val="0"/>
        <w:snapToGrid w:val="0"/>
        <w:spacing w:before="156" w:line="220" w:lineRule="auto"/>
        <w:ind w:left="3105"/>
        <w:textAlignment w:val="baseline"/>
        <w:rPr>
          <w:rFonts w:ascii="宋体" w:eastAsia="宋体" w:hAnsi="宋体" w:cs="宋体"/>
          <w:sz w:val="18"/>
          <w:szCs w:val="18"/>
        </w:rPr>
      </w:pPr>
      <w:r>
        <w:rPr>
          <w:rFonts w:ascii="宋体" w:eastAsia="宋体" w:hAnsi="宋体" w:cs="宋体"/>
          <w:b/>
          <w:bCs/>
          <w:spacing w:val="-4"/>
          <w:sz w:val="18"/>
          <w:szCs w:val="18"/>
        </w:rPr>
        <w:t>图</w:t>
      </w:r>
      <w:r>
        <w:rPr>
          <w:rFonts w:ascii="宋体" w:eastAsia="宋体" w:hAnsi="宋体" w:cs="宋体"/>
          <w:spacing w:val="-26"/>
          <w:sz w:val="18"/>
          <w:szCs w:val="18"/>
        </w:rPr>
        <w:t xml:space="preserve"> </w:t>
      </w:r>
      <w:r>
        <w:rPr>
          <w:rFonts w:ascii="Calibri Light" w:eastAsia="Calibri Light" w:hAnsi="Calibri Light" w:cs="Calibri Light"/>
          <w:b/>
          <w:bCs/>
          <w:spacing w:val="-4"/>
          <w:sz w:val="18"/>
          <w:szCs w:val="18"/>
        </w:rPr>
        <w:t>5-1</w:t>
      </w:r>
      <w:r>
        <w:rPr>
          <w:rFonts w:ascii="Calibri Light" w:eastAsia="Calibri Light" w:hAnsi="Calibri Light" w:cs="Calibri Light"/>
          <w:spacing w:val="-4"/>
          <w:sz w:val="18"/>
          <w:szCs w:val="18"/>
        </w:rPr>
        <w:t xml:space="preserve">  </w:t>
      </w:r>
      <w:r>
        <w:rPr>
          <w:rFonts w:ascii="宋体" w:eastAsia="宋体" w:hAnsi="宋体" w:cs="宋体"/>
          <w:b/>
          <w:bCs/>
          <w:spacing w:val="-4"/>
          <w:sz w:val="18"/>
          <w:szCs w:val="18"/>
        </w:rPr>
        <w:t>服务级别管理流程图</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22321"/>
      <w:r>
        <w:t>活动说明</w:t>
      </w:r>
      <w:bookmarkEnd w:id="16"/>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17007"/>
      <w:r>
        <w:t>识别客户需求</w:t>
      </w:r>
      <w:bookmarkEnd w:id="17"/>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w:t>
      </w:r>
      <w:r>
        <w:t>项目经理通过与客户沟通（如会议、访谈等方式）收集客户对服务管理和质量的要求和期望，进行描述和整理，形成《会议纪要》。</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17240"/>
      <w:r>
        <w:t>定义服务级别</w:t>
      </w:r>
      <w:bookmarkEnd w:id="18"/>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w:t>
      </w:r>
      <w:r>
        <w:t>项目经理通过根据客户需求进行服务需求和期望进行详细分析，形成《服务级别协议》草案，和客户进行确认，以满足客户的要求。常规的 SLA 中所包含的内容：</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服务概述；</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服务周期和服务时间；</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服务范围；</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双方职责和义务；</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考核指标（即服务要达到的目标，如响应时间、可用性等）；</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服务费用；</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textAlignment w:val="baseline"/>
      </w:pPr>
      <w:r>
        <w:t>设备清单。</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21603"/>
      <w:r>
        <w:t>SLA的签订</w:t>
      </w:r>
      <w:bookmarkEnd w:id="19"/>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w:t>
      </w:r>
      <w:r>
        <w:t>项目经理根据服务级别协议提出详细的项目级服务目录。</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项目级服务目录尽量避免技术术语，而使用一些符合相关业务的术语；尽量从客户的角度看待问题。通过协商、草拟、修订，完成SLA的签订。</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4829"/>
      <w:r>
        <w:t>SLA的实施和监控</w:t>
      </w:r>
      <w:bookmarkEnd w:id="20"/>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服务级别协议签署并开通服务之后，由服务级别经理建立和监测机制，并按照确立的监控机制制定《服务级别管理监控记录表》以对我方提供的运维服务进行相关数据采集，判断服务过程中是否存在违背服务级别协议的内容，如有，请记录。</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15307"/>
      <w:r>
        <w:t>服务级别评审</w:t>
      </w:r>
      <w:bookmarkEnd w:id="2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服务级别经理依据服务级别管理监控，组织召开 SLA 评审会议，回顾和总结检查服务级别的履行状况，形成服务改进方案和措施，形成《服务级别评审表》，同客户进行评价，并调整下一服务周期的SLA。</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10336"/>
      <w:r>
        <w:rPr>
          <w:rFonts w:hint="eastAsia"/>
          <w:lang w:val="en-US" w:eastAsia="zh-CN"/>
        </w:rPr>
        <w:t>服务级别改进</w:t>
      </w:r>
      <w:bookmarkEnd w:id="2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服务级别评审后，如发现服务未达到协议约定水平或存在改进空间，应采取系统性改进措施，确保服务持续符合或超越客户期望。改进措施包括以下环节：</w:t>
      </w:r>
    </w:p>
    <w:p>
      <w:pPr>
        <w:pStyle w:val="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改进需求识别</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基于《服务级别评审表》和服务监控数据，识别未达标的服务项、客户反馈问题及潜在提升点。</w:t>
      </w:r>
    </w:p>
    <w:p>
      <w:pPr>
        <w:pStyle w:val="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制定改进措施</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服务级别经理组织相关团队（如运维、项目、技术支持等）制定具体的改进计划，内容应包括：</w:t>
      </w:r>
    </w:p>
    <w:p>
      <w:pPr>
        <w:pStyle w:val="a"/>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改进目标；</w:t>
      </w:r>
    </w:p>
    <w:p>
      <w:pPr>
        <w:pStyle w:val="a"/>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具体行动项；</w:t>
      </w:r>
    </w:p>
    <w:p>
      <w:pPr>
        <w:pStyle w:val="a"/>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责任人；</w:t>
      </w:r>
    </w:p>
    <w:p>
      <w:pPr>
        <w:pStyle w:val="a"/>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完成时间；</w:t>
      </w:r>
    </w:p>
    <w:p>
      <w:pPr>
        <w:pStyle w:val="a"/>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所需资源。</w:t>
      </w:r>
    </w:p>
    <w:p>
      <w:pPr>
        <w:pStyle w:val="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措施实施与跟踪</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运维项目经理负责推动改进措施的执行，服务级别经理负责跟踪进度，并在《服务级别管理监控记录表》中记录改进状态。</w:t>
      </w:r>
    </w:p>
    <w:p>
      <w:pPr>
        <w:pStyle w:val="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效果验证</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改进措施完成后，通过下一周期的服务级别监控数据及客户反馈进行效果验证，确保改进有效并可持续。</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更新服务协议</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如改进涉及服务级别调整，应通过变更管理流程更新SLA，并重新与客户确认。</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12079"/>
      <w:r>
        <w:t>关键成功因素</w:t>
      </w:r>
      <w:bookmarkEnd w:id="23"/>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了解服务内容</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服务提供方充分了解它所能提供的各种服务，以及相关的优先权和业务重要程度；</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确定服务范围、服务对象和服务内容</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参考服务目录，但是对于不同的用户，具体的服务级别设定又要有针对性</w:t>
      </w:r>
      <w:r>
        <w:rPr>
          <w:rFonts w:hint="eastAsia"/>
          <w:lang w:eastAsia="zh-CN"/>
        </w:rPr>
        <w:t>。</w:t>
      </w:r>
      <w:r>
        <w:t>和独立性；</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定义服务级别目标</w:t>
      </w:r>
    </w:p>
    <w:p>
      <w:pPr>
        <w:pStyle w:val="a"/>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pPr>
      <w:r>
        <w:rPr>
          <w:rStyle w:val="Char0"/>
        </w:rPr>
        <w:t>在服务级别设定的过程中，服务提供方和客户需要仔细的推敲指定合适的服</w:t>
      </w:r>
      <w:r>
        <w:t>务目标，既要考虑到客户的需求，又要监督到经济效益和成本因素，力求服务级别可行；</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明确双方职责</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就服务本身而言，并不是单方面的工作，许多服务级别设定后在实施过程中失败，其原因就是因为忽略了客户在服务提供过程中的角色，以及相应的权利、义务、职责等。经过双方确认，除了在服务提供方任命专人对口客户，在客户方亦需要有专人负责对服务提供方进行监督；</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对服务级别设定的评审和修改</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服务级别设定后需要在公司内部进行评审，评审过程除应召集服务过程相关方，还应有质量管理人员，必要时还需邀请法务人员和财务人员进行评审；</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服务级别谈判和沟通</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在最终形成文档的 SLA中，每个细节都是经过谈判、双方同意并被记录在案的。及时的沟通服务级别设定的每项内容，对整个服务级别管理过程有着重要作用。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27916"/>
      <w:r>
        <w:t>可能存在的风险</w:t>
      </w:r>
      <w:bookmarkEnd w:id="24"/>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在实施服务级别管理的过程中，下列问题值得关注：</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未充分考虑客户需求，导致服务级别偏离；</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没有验证服务目标是否可实现，在签约前没有对这些服务目标进行核实；</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对服务级别管理重视不够，投入的资源和时间太少；</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服务协议没有得到足够的运营级别协议或支持合同的支持；</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各方的责任定义不明确，从而可能会导致各方都推卸责任；</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SLA根据IT而不是结合业务需求来签订，尤其在业务方不清楚其业务需求时更是如此；</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SLA太长，不够简洁，对关键业务或流程关注不够；</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拟提供的服务级别未能很好地传递给客户或客户有拒绝变化的抵触情绪；</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pPr>
      <w:r>
        <w:t>服务级别管理未能与完整的服务周期相结合。</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服务级别管理中出现的上述任何问题都可能导致服务级别管理的失败。因此，有必要提前确认这些问题并进行适当的监控，以确保服务级别管理流程成功地实施。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21708"/>
      <w:r>
        <w:t>与其他流程的关系</w:t>
      </w:r>
      <w:bookmarkEnd w:id="25"/>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bookmark31"/>
      <w:bookmarkEnd w:id="26"/>
      <w:bookmarkStart w:id="27" w:name="_Toc12533"/>
      <w:r>
        <w:t>与事件管理和问题管理</w:t>
      </w:r>
      <w:bookmarkEnd w:id="27"/>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pPr>
      <w:r>
        <w:t>事件管理过程中，在接受客户上报或主动监控上报的故障时，服务人员需要依据SLA对事件进行识别判断，属于服务级别范围内的故障应尽快解决，对于协议范围外的事件原则上不提供服务，但应与客户沟通以取得客户理解。</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pPr>
      <w:r>
        <w:t>事件优先级顺序的判断，应参照 SLA 中所约定的标准，应保证现有故障的处理时间满足SLA中所约定的时间要求。</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pPr>
      <w:r>
        <w:t>问题管理过程中，通过采取永久性或彻底的措施，确保该类故障不再重复发生，以求达到 SLA 协议中约定的可用性等指标的目标。</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_Toc15339"/>
      <w:r>
        <w:t>与变更管理和发布管理</w:t>
      </w:r>
      <w:bookmarkEnd w:id="28"/>
    </w:p>
    <w:p>
      <w:pPr>
        <w:pStyle w:val="a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pPr>
      <w:r>
        <w:t>变更管理过程中，将提供与服务级别协议相关的服务信息。</w:t>
      </w:r>
    </w:p>
    <w:p>
      <w:pPr>
        <w:pStyle w:val="a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pPr>
      <w:r>
        <w:t>变更管理过程对配置项的变更评估，应充分参考对相关的运维服务及服务级别的保障。</w:t>
      </w:r>
    </w:p>
    <w:p>
      <w:pPr>
        <w:pStyle w:val="a3"/>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pPr>
      <w:r>
        <w:t>任何对服务、服务级别以及 SLA 的变更，都应通过变更管理来进行控制。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_Toc28586"/>
      <w:r>
        <w:t>与配置管理</w:t>
      </w:r>
      <w:bookmarkEnd w:id="29"/>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配置管理可将服务级别协议（SLA）作为配置项进行统一记录和管理，则当发生对SLA的变更时，配置管理库中对应 SLA 配置项的记录也应保持同步更新。</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_Toc32189"/>
      <w:r>
        <w:t>考核指标</w:t>
      </w:r>
      <w:bookmarkEnd w:id="30"/>
    </w:p>
    <w:tbl>
      <w:tblPr>
        <w:tblStyle w:val="TableNormal0"/>
        <w:tblW w:w="829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727"/>
        <w:gridCol w:w="1337"/>
        <w:gridCol w:w="3545"/>
        <w:gridCol w:w="1344"/>
        <w:gridCol w:w="1344"/>
      </w:tblGrid>
      <w:tr>
        <w:tblPrEx>
          <w:tblW w:w="829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36"/>
          <w:jc w:val="center"/>
        </w:trPr>
        <w:tc>
          <w:tcPr>
            <w:tcW w:w="727" w:type="dxa"/>
            <w:tcBorders>
              <w:top w:val="single" w:sz="6" w:space="0" w:color="000000"/>
              <w:left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b/>
                <w:bCs/>
                <w:spacing w:val="-7"/>
                <w:sz w:val="24"/>
                <w:szCs w:val="24"/>
              </w:rPr>
            </w:pPr>
            <w:r>
              <w:rPr>
                <w:rFonts w:ascii="宋体" w:eastAsia="宋体" w:hAnsi="宋体" w:cs="宋体"/>
                <w:b/>
                <w:bCs/>
                <w:spacing w:val="-7"/>
                <w:sz w:val="24"/>
                <w:szCs w:val="24"/>
              </w:rPr>
              <w:t>序号</w:t>
            </w:r>
          </w:p>
        </w:tc>
        <w:tc>
          <w:tcPr>
            <w:tcW w:w="1337" w:type="dxa"/>
            <w:tcBorders>
              <w:top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b/>
                <w:bCs/>
                <w:spacing w:val="-7"/>
                <w:sz w:val="24"/>
                <w:szCs w:val="24"/>
              </w:rPr>
            </w:pPr>
            <w:r>
              <w:rPr>
                <w:rFonts w:ascii="宋体" w:eastAsia="宋体" w:hAnsi="宋体" w:cs="宋体"/>
                <w:b/>
                <w:bCs/>
                <w:spacing w:val="-7"/>
                <w:sz w:val="24"/>
                <w:szCs w:val="24"/>
              </w:rPr>
              <w:t>衡量指标</w:t>
            </w:r>
          </w:p>
        </w:tc>
        <w:tc>
          <w:tcPr>
            <w:tcW w:w="3545"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b/>
                <w:bCs/>
                <w:spacing w:val="-7"/>
                <w:sz w:val="24"/>
                <w:szCs w:val="24"/>
              </w:rPr>
            </w:pPr>
            <w:r>
              <w:rPr>
                <w:rFonts w:ascii="宋体" w:eastAsia="宋体" w:hAnsi="宋体" w:cs="宋体"/>
                <w:b/>
                <w:bCs/>
                <w:spacing w:val="-7"/>
                <w:sz w:val="24"/>
                <w:szCs w:val="24"/>
              </w:rPr>
              <w:t>指标计算说明</w:t>
            </w:r>
          </w:p>
        </w:tc>
        <w:tc>
          <w:tcPr>
            <w:tcW w:w="1344"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hint="default"/>
                <w:b/>
                <w:bCs/>
                <w:spacing w:val="-7"/>
                <w:sz w:val="24"/>
                <w:szCs w:val="24"/>
                <w:lang w:val="en-US" w:eastAsia="zh-CN"/>
              </w:rPr>
            </w:pPr>
            <w:r>
              <w:rPr>
                <w:rFonts w:ascii="宋体" w:eastAsia="宋体" w:hAnsi="宋体" w:cs="宋体" w:hint="eastAsia"/>
                <w:b/>
                <w:bCs/>
                <w:spacing w:val="-7"/>
                <w:sz w:val="24"/>
                <w:szCs w:val="24"/>
                <w:lang w:val="en-US" w:eastAsia="zh-CN"/>
              </w:rPr>
              <w:t>考核频次</w:t>
            </w:r>
          </w:p>
        </w:tc>
        <w:tc>
          <w:tcPr>
            <w:tcW w:w="1344"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0" w:right="0" w:firstLine="0" w:leftChars="0" w:rightChars="0" w:firstLineChars="0"/>
              <w:jc w:val="center"/>
              <w:textAlignment w:val="baseline"/>
              <w:rPr>
                <w:rFonts w:ascii="宋体" w:eastAsia="宋体" w:hAnsi="宋体" w:cs="宋体" w:hint="default"/>
                <w:b/>
                <w:bCs/>
                <w:spacing w:val="-7"/>
                <w:sz w:val="24"/>
                <w:szCs w:val="24"/>
                <w:lang w:val="en-US" w:eastAsia="zh-CN"/>
              </w:rPr>
            </w:pPr>
            <w:r>
              <w:rPr>
                <w:rFonts w:ascii="宋体" w:hAnsi="宋体" w:cs="宋体" w:hint="eastAsia"/>
                <w:b/>
                <w:bCs/>
                <w:spacing w:val="-7"/>
                <w:sz w:val="24"/>
                <w:szCs w:val="24"/>
                <w:lang w:val="en-US" w:eastAsia="zh-CN"/>
              </w:rPr>
              <w:t>目标值</w:t>
            </w:r>
          </w:p>
        </w:tc>
      </w:tr>
      <w:tr>
        <w:tblPrEx>
          <w:tblW w:w="8297" w:type="dxa"/>
          <w:jc w:val="center"/>
          <w:tblLayout w:type="fixed"/>
          <w:tblCellMar>
            <w:top w:w="0" w:type="dxa"/>
            <w:left w:w="0" w:type="dxa"/>
            <w:bottom w:w="0" w:type="dxa"/>
            <w:right w:w="0" w:type="dxa"/>
          </w:tblCellMar>
        </w:tblPrEx>
        <w:trPr>
          <w:trHeight w:val="429"/>
          <w:jc w:val="center"/>
        </w:trPr>
        <w:tc>
          <w:tcPr>
            <w:tcW w:w="727" w:type="dxa"/>
            <w:tcBorders>
              <w:top w:val="single" w:sz="6" w:space="0" w:color="000000"/>
              <w:left w:val="single" w:sz="6"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right="0" w:firstLine="0" w:leftChars="0" w:rightChars="0" w:firstLineChars="0"/>
              <w:jc w:val="center"/>
              <w:textAlignment w:val="baseline"/>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1</w:t>
            </w:r>
          </w:p>
        </w:tc>
        <w:tc>
          <w:tcPr>
            <w:tcW w:w="1337" w:type="dxa"/>
            <w:tcBorders>
              <w:top w:val="single" w:sz="6"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right="0" w:firstLine="0" w:leftChars="0" w:rightChars="0" w:firstLineChars="0"/>
              <w:jc w:val="center"/>
              <w:textAlignment w:val="baseline"/>
              <w:rPr>
                <w:rFonts w:ascii="宋体" w:eastAsia="宋体" w:hAnsi="宋体" w:cs="宋体" w:hint="default"/>
                <w:spacing w:val="-2"/>
                <w:sz w:val="24"/>
                <w:szCs w:val="24"/>
                <w:lang w:val="en-US" w:eastAsia="zh-CN"/>
              </w:rPr>
            </w:pPr>
            <w:r>
              <w:rPr>
                <w:rFonts w:hint="eastAsia"/>
                <w:spacing w:val="-2"/>
                <w:sz w:val="18"/>
                <w:szCs w:val="18"/>
                <w:lang w:val="en-US" w:eastAsia="zh-CN"/>
              </w:rPr>
              <w:t>SLA达成率</w:t>
            </w:r>
          </w:p>
        </w:tc>
        <w:tc>
          <w:tcPr>
            <w:tcW w:w="3545" w:type="dxa"/>
            <w:tcBorders>
              <w:top w:val="single" w:sz="6" w:space="0" w:color="000000"/>
              <w:right w:val="single" w:sz="6" w:space="0" w:color="000000"/>
            </w:tcBorders>
            <w:vAlign w:val="center"/>
          </w:tcPr>
          <w:p>
            <w:pPr>
              <w:pStyle w:val="TableText"/>
              <w:keepNext w:val="0"/>
              <w:keepLines w:val="0"/>
              <w:pageBreakBefore w:val="0"/>
              <w:widowControl w:val="0"/>
              <w:kinsoku w:val="0"/>
              <w:wordWrap/>
              <w:overflowPunct/>
              <w:topLinePunct w:val="0"/>
              <w:autoSpaceDE w:val="0"/>
              <w:autoSpaceDN w:val="0"/>
              <w:bidi w:val="0"/>
              <w:adjustRightInd w:val="0"/>
              <w:snapToGrid w:val="0"/>
              <w:spacing w:before="59" w:line="220" w:lineRule="auto"/>
              <w:ind w:left="0" w:right="0" w:firstLine="0" w:leftChars="0" w:rightChars="0" w:firstLineChars="0"/>
              <w:jc w:val="center"/>
              <w:textAlignment w:val="baseline"/>
              <w:rPr>
                <w:rFonts w:ascii="宋体" w:eastAsia="宋体" w:hAnsi="宋体" w:cs="宋体" w:hint="default"/>
                <w:spacing w:val="-2"/>
                <w:sz w:val="24"/>
                <w:szCs w:val="24"/>
                <w:lang w:val="en-US" w:eastAsia="zh-CN"/>
              </w:rPr>
            </w:pPr>
            <w:r>
              <w:rPr>
                <w:spacing w:val="-2"/>
                <w:sz w:val="18"/>
                <w:szCs w:val="18"/>
              </w:rPr>
              <w:t>（满足服务级别事件数/事件总数）*100%</w:t>
            </w:r>
          </w:p>
        </w:tc>
        <w:tc>
          <w:tcPr>
            <w:tcW w:w="1344" w:type="dxa"/>
            <w:tcBorders>
              <w:top w:val="single" w:sz="6" w:space="0" w:color="000000"/>
              <w:right w:val="single" w:sz="6"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right="0" w:firstLine="0" w:leftChars="0" w:rightChars="0" w:firstLineChars="0"/>
              <w:jc w:val="center"/>
              <w:textAlignment w:val="baseline"/>
              <w:rPr>
                <w:rFonts w:ascii="宋体" w:eastAsia="宋体" w:hAnsi="宋体" w:cs="宋体" w:hint="eastAsia"/>
                <w:spacing w:val="-2"/>
                <w:sz w:val="24"/>
                <w:szCs w:val="24"/>
                <w:lang w:val="en-US" w:eastAsia="zh-CN"/>
              </w:rPr>
            </w:pPr>
            <w:r>
              <w:rPr>
                <w:rFonts w:hint="eastAsia"/>
                <w:spacing w:val="-2"/>
                <w:sz w:val="18"/>
                <w:szCs w:val="18"/>
                <w:lang w:val="en-US" w:eastAsia="zh-CN"/>
              </w:rPr>
              <w:t>按季度</w:t>
            </w:r>
          </w:p>
        </w:tc>
        <w:tc>
          <w:tcPr>
            <w:tcW w:w="1344" w:type="dxa"/>
            <w:tcBorders>
              <w:top w:val="single" w:sz="6" w:space="0" w:color="000000"/>
              <w:right w:val="single" w:sz="6"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right="0" w:firstLine="0" w:leftChars="0" w:rightChars="0" w:firstLineChars="0"/>
              <w:jc w:val="center"/>
              <w:textAlignment w:val="baseline"/>
              <w:rPr>
                <w:rFonts w:hint="default"/>
                <w:spacing w:val="-2"/>
                <w:sz w:val="18"/>
                <w:szCs w:val="18"/>
                <w:lang w:val="en-US" w:eastAsia="zh-CN"/>
              </w:rPr>
            </w:pPr>
            <w:r>
              <w:rPr>
                <w:rFonts w:hint="eastAsia"/>
                <w:spacing w:val="-2"/>
                <w:sz w:val="18"/>
                <w:szCs w:val="18"/>
                <w:lang w:val="en-US" w:eastAsia="zh-CN"/>
              </w:rPr>
              <w:t>≥90%</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8708"/>
      <w:r>
        <w:t>相关政策</w:t>
      </w:r>
      <w:bookmarkEnd w:id="31"/>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_Toc10844"/>
      <w:r>
        <w:t>常规方针</w:t>
      </w:r>
      <w:bookmarkEnd w:id="32"/>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pPr>
      <w:r>
        <w:t>服务范围和相应服务级别目标、工作量应得到相关各方的认同，并被记录。每项服务应在服务级别协议（SLA）中被定义、认可和记录。</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pPr>
      <w:r>
        <w:t>服务级别协议的变更应置于变更管理控制之下。</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pPr>
      <w:r>
        <w:t>服务级别协议应定期得到相关各方检查，以确保其及时更新和有效。</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pPr>
      <w:r>
        <w:t>定期（每</w:t>
      </w:r>
      <w:r>
        <w:rPr>
          <w:rFonts w:hint="eastAsia"/>
          <w:lang w:val="en-US" w:eastAsia="zh-CN"/>
        </w:rPr>
        <w:t>季度</w:t>
      </w:r>
      <w:r>
        <w:t>）进行服务级别管理的评审，跟踪、协调和沟通服务级别管理活动，进行服务级别管理过程的改进，提升服务交付质量。</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_Toc20408"/>
      <w:r>
        <w:t>责任人方针</w:t>
      </w:r>
      <w:bookmarkEnd w:id="3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高效管理服务级别的一个关键要素，就是任命一个合适的责任人，以确保任何时候服务级别协议的有效执行。我们制定的该流程中，服务需求识别和签订的责任人被指派给</w:t>
      </w:r>
      <w:r>
        <w:rPr>
          <w:rFonts w:hint="eastAsia"/>
          <w:lang w:val="en-US" w:eastAsia="zh-CN"/>
        </w:rPr>
        <w:t>运维</w:t>
      </w:r>
      <w:r>
        <w:t>项目经理，服务级别协议监控和评审的责任人被指派给服务级别经理。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_Toc2728"/>
      <w:r>
        <w:t>相关文件及模板</w:t>
      </w:r>
      <w:bookmarkEnd w:id="34"/>
    </w:p>
    <w:p>
      <w:pPr>
        <w:keepNext w:val="0"/>
        <w:keepLines w:val="0"/>
        <w:pageBreakBefore w:val="0"/>
        <w:widowControl w:val="0"/>
        <w:kinsoku w:val="0"/>
        <w:wordWrap/>
        <w:overflowPunct/>
        <w:topLinePunct w:val="0"/>
        <w:autoSpaceDE w:val="0"/>
        <w:autoSpaceDN w:val="0"/>
        <w:bidi w:val="0"/>
        <w:adjustRightInd w:val="0"/>
        <w:snapToGrid w:val="0"/>
        <w:spacing w:before="141" w:line="220" w:lineRule="auto"/>
        <w:ind w:left="181"/>
        <w:textAlignment w:val="baseline"/>
        <w:rPr>
          <w:rFonts w:ascii="宋体" w:eastAsia="宋体" w:hAnsi="宋体" w:cs="宋体"/>
          <w:sz w:val="24"/>
          <w:szCs w:val="24"/>
        </w:rPr>
      </w:pPr>
      <w:r>
        <w:rPr>
          <w:rFonts w:ascii="宋体" w:eastAsia="宋体" w:hAnsi="宋体" w:cs="宋体"/>
          <w:spacing w:val="-1"/>
          <w:sz w:val="24"/>
          <w:szCs w:val="24"/>
        </w:rPr>
        <w:t>《</w:t>
      </w:r>
      <w:r>
        <w:rPr>
          <w:rFonts w:ascii="宋体" w:eastAsia="宋体" w:hAnsi="宋体" w:cs="宋体" w:hint="eastAsia"/>
          <w:spacing w:val="-1"/>
          <w:sz w:val="24"/>
          <w:szCs w:val="24"/>
        </w:rPr>
        <w:t>公司运行维护服务目录</w:t>
      </w:r>
      <w:r>
        <w:rPr>
          <w:rFonts w:ascii="宋体" w:eastAsia="宋体" w:hAnsi="宋体" w:cs="宋体"/>
          <w:spacing w:val="-1"/>
          <w:sz w:val="24"/>
          <w:szCs w:val="24"/>
        </w:rPr>
        <w:t>》</w:t>
      </w:r>
    </w:p>
    <w:p>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181"/>
        <w:textAlignment w:val="baseline"/>
        <w:rPr>
          <w:rFonts w:ascii="宋体" w:eastAsia="宋体" w:hAnsi="宋体" w:cs="宋体"/>
          <w:sz w:val="24"/>
          <w:szCs w:val="24"/>
        </w:rPr>
      </w:pPr>
      <w:r>
        <w:rPr>
          <w:rFonts w:ascii="宋体" w:eastAsia="宋体" w:hAnsi="宋体" w:cs="宋体" w:hint="eastAsia"/>
          <w:spacing w:val="-1"/>
          <w:sz w:val="24"/>
          <w:szCs w:val="24"/>
        </w:rPr>
        <w:t>《服务级别管理程序》</w:t>
      </w:r>
      <w:bookmarkStart w:id="35" w:name="_GoBack"/>
      <w:bookmarkEnd w:id="35"/>
    </w:p>
    <w:sectPr>
      <w:footerReference w:type="default" r:id="rId5"/>
      <w:pgSz w:w="11906" w:h="16839"/>
      <w:pgMar w:top="1431" w:right="1653" w:bottom="1373" w:left="1785" w:header="0" w:footer="121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5" w:lineRule="auto"/>
      <w:ind w:left="4130"/>
      <w:rPr>
        <w:rFonts w:ascii="Calibri" w:eastAsia="Calibri" w:hAnsi="Calibri" w:cs="Calibri"/>
        <w:sz w:val="18"/>
        <w:szCs w:val="18"/>
      </w:rPr>
    </w:pPr>
    <w:r>
      <w:rPr>
        <w:rFonts w:ascii="Calibri" w:eastAsia="Calibri" w:hAnsi="Calibri" w:cs="Calibri"/>
        <w:sz w:val="18"/>
        <w:szCs w:val="18"/>
      </w:rPr>
      <w:t>7</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8F1FCB75"/>
    <w:multiLevelType w:val="singleLevel"/>
    <w:tmpl w:val="8F1FCB75"/>
    <w:lvl w:ilvl="0">
      <w:start w:val="1"/>
      <w:numFmt w:val="decimal"/>
      <w:lvlText w:val="%1."/>
      <w:lvlJc w:val="left"/>
      <w:pPr>
        <w:ind w:left="425" w:hanging="425"/>
      </w:pPr>
      <w:rPr>
        <w:rFonts w:hint="default"/>
      </w:rPr>
    </w:lvl>
  </w:abstractNum>
  <w:abstractNum w:abstractNumId="2">
    <w:nsid w:val="A7365F51"/>
    <w:multiLevelType w:val="singleLevel"/>
    <w:tmpl w:val="A7365F51"/>
    <w:lvl w:ilvl="0">
      <w:start w:val="1"/>
      <w:numFmt w:val="decimal"/>
      <w:lvlText w:val="%1."/>
      <w:lvlJc w:val="left"/>
      <w:pPr>
        <w:ind w:left="425" w:hanging="425"/>
      </w:pPr>
      <w:rPr>
        <w:rFonts w:hint="default"/>
      </w:rPr>
    </w:lvl>
  </w:abstractNum>
  <w:abstractNum w:abstractNumId="3">
    <w:nsid w:val="AD5C2DBB"/>
    <w:multiLevelType w:val="singleLevel"/>
    <w:tmpl w:val="AD5C2DBB"/>
    <w:lvl w:ilvl="0">
      <w:start w:val="1"/>
      <w:numFmt w:val="decimal"/>
      <w:lvlText w:val="%1."/>
      <w:lvlJc w:val="left"/>
      <w:pPr>
        <w:ind w:left="425" w:hanging="425"/>
      </w:pPr>
      <w:rPr>
        <w:rFonts w:hint="default"/>
      </w:rPr>
    </w:lvl>
  </w:abstractNum>
  <w:abstractNum w:abstractNumId="4">
    <w:nsid w:val="BBA2B121"/>
    <w:multiLevelType w:val="singleLevel"/>
    <w:tmpl w:val="BBA2B121"/>
    <w:lvl w:ilvl="0">
      <w:start w:val="1"/>
      <w:numFmt w:val="decimal"/>
      <w:lvlText w:val="%1."/>
      <w:lvlJc w:val="left"/>
      <w:pPr>
        <w:ind w:left="425" w:hanging="425"/>
      </w:pPr>
      <w:rPr>
        <w:rFonts w:hint="default"/>
      </w:rPr>
    </w:lvl>
  </w:abstractNum>
  <w:abstractNum w:abstractNumId="5">
    <w:nsid w:val="CCE8DBF5"/>
    <w:multiLevelType w:val="singleLevel"/>
    <w:tmpl w:val="CCE8DBF5"/>
    <w:lvl w:ilvl="0">
      <w:start w:val="1"/>
      <w:numFmt w:val="decimal"/>
      <w:lvlText w:val="%1."/>
      <w:lvlJc w:val="left"/>
      <w:pPr>
        <w:ind w:left="425" w:hanging="425"/>
      </w:pPr>
      <w:rPr>
        <w:rFonts w:hint="default"/>
      </w:rPr>
    </w:lvl>
  </w:abstractNum>
  <w:abstractNum w:abstractNumId="6">
    <w:nsid w:val="DE9F8646"/>
    <w:multiLevelType w:val="singleLevel"/>
    <w:tmpl w:val="DE9F8646"/>
    <w:lvl w:ilvl="0">
      <w:start w:val="1"/>
      <w:numFmt w:val="decimal"/>
      <w:lvlText w:val="%1."/>
      <w:lvlJc w:val="left"/>
      <w:pPr>
        <w:ind w:left="425" w:hanging="425"/>
      </w:pPr>
      <w:rPr>
        <w:rFonts w:hint="default"/>
      </w:rPr>
    </w:lvl>
  </w:abstractNum>
  <w:abstractNum w:abstractNumId="7">
    <w:nsid w:val="E08F7544"/>
    <w:multiLevelType w:val="singleLevel"/>
    <w:tmpl w:val="E08F7544"/>
    <w:lvl w:ilvl="0">
      <w:start w:val="1"/>
      <w:numFmt w:val="decimal"/>
      <w:lvlText w:val="%1."/>
      <w:lvlJc w:val="left"/>
      <w:pPr>
        <w:ind w:left="425" w:hanging="425"/>
      </w:pPr>
      <w:rPr>
        <w:rFonts w:hint="default"/>
      </w:rPr>
    </w:lvl>
  </w:abstractNum>
  <w:abstractNum w:abstractNumId="8">
    <w:nsid w:val="F2380E6E"/>
    <w:multiLevelType w:val="singleLevel"/>
    <w:tmpl w:val="F2380E6E"/>
    <w:lvl w:ilvl="0">
      <w:start w:val="1"/>
      <w:numFmt w:val="decimal"/>
      <w:lvlText w:val="%1."/>
      <w:lvlJc w:val="left"/>
      <w:pPr>
        <w:ind w:left="425" w:hanging="425"/>
      </w:pPr>
      <w:rPr>
        <w:rFonts w:hint="default"/>
      </w:rPr>
    </w:lvl>
  </w:abstractNum>
  <w:abstractNum w:abstractNumId="9">
    <w:nsid w:val="F9617557"/>
    <w:multiLevelType w:val="singleLevel"/>
    <w:tmpl w:val="F9617557"/>
    <w:lvl w:ilvl="0">
      <w:start w:val="1"/>
      <w:numFmt w:val="decimal"/>
      <w:lvlText w:val="%1."/>
      <w:lvlJc w:val="left"/>
      <w:pPr>
        <w:ind w:left="425" w:hanging="425"/>
      </w:pPr>
      <w:rPr>
        <w:rFonts w:hint="default"/>
      </w:rPr>
    </w:lvl>
  </w:abstractNum>
  <w:abstractNum w:abstractNumId="10">
    <w:nsid w:val="248586F2"/>
    <w:multiLevelType w:val="singleLevel"/>
    <w:tmpl w:val="248586F2"/>
    <w:lvl w:ilvl="0">
      <w:start w:val="1"/>
      <w:numFmt w:val="decimal"/>
      <w:lvlText w:val="%1."/>
      <w:lvlJc w:val="left"/>
      <w:pPr>
        <w:ind w:left="425" w:hanging="425"/>
      </w:pPr>
      <w:rPr>
        <w:rFonts w:hint="default"/>
      </w:rPr>
    </w:lvl>
  </w:abstractNum>
  <w:abstractNum w:abstractNumId="11">
    <w:nsid w:val="3A927302"/>
    <w:multiLevelType w:val="singleLevel"/>
    <w:tmpl w:val="3A927302"/>
    <w:lvl w:ilvl="0">
      <w:start w:val="1"/>
      <w:numFmt w:val="decimal"/>
      <w:lvlText w:val="%1."/>
      <w:lvlJc w:val="left"/>
      <w:pPr>
        <w:ind w:left="425" w:hanging="425"/>
      </w:pPr>
      <w:rPr>
        <w:rFonts w:hint="default"/>
      </w:rPr>
    </w:lvl>
  </w:abstractNum>
  <w:abstractNum w:abstractNumId="12">
    <w:nsid w:val="5F0D4C11"/>
    <w:multiLevelType w:val="singleLevel"/>
    <w:tmpl w:val="5F0D4C11"/>
    <w:lvl w:ilvl="0">
      <w:start w:val="1"/>
      <w:numFmt w:val="decimal"/>
      <w:lvlText w:val="%1."/>
      <w:lvlJc w:val="left"/>
      <w:pPr>
        <w:ind w:left="425" w:hanging="425"/>
      </w:pPr>
      <w:rPr>
        <w:rFonts w:hint="default"/>
      </w:rPr>
    </w:lvl>
  </w:abstractNum>
  <w:abstractNum w:abstractNumId="13">
    <w:nsid w:val="698335A7"/>
    <w:multiLevelType w:val="singleLevel"/>
    <w:tmpl w:val="698335A7"/>
    <w:lvl w:ilvl="0">
      <w:start w:val="1"/>
      <w:numFmt w:val="decimal"/>
      <w:lvlText w:val="%1."/>
      <w:lvlJc w:val="left"/>
      <w:pPr>
        <w:ind w:left="425" w:hanging="425"/>
      </w:pPr>
      <w:rPr>
        <w:rFonts w:hint="default"/>
      </w:rPr>
    </w:lvl>
  </w:abstractNum>
  <w:num w:numId="1">
    <w:abstractNumId w:val="0"/>
  </w:num>
  <w:num w:numId="2">
    <w:abstractNumId w:val="4"/>
  </w:num>
  <w:num w:numId="3">
    <w:abstractNumId w:val="1"/>
  </w:num>
  <w:num w:numId="4">
    <w:abstractNumId w:val="7"/>
  </w:num>
  <w:num w:numId="5">
    <w:abstractNumId w:val="8"/>
  </w:num>
  <w:num w:numId="6">
    <w:abstractNumId w:val="10"/>
  </w:num>
  <w:num w:numId="7">
    <w:abstractNumId w:val="12"/>
  </w:num>
  <w:num w:numId="8">
    <w:abstractNumId w:val="11"/>
  </w:num>
  <w:num w:numId="9">
    <w:abstractNumId w:val="9"/>
  </w:num>
  <w:num w:numId="10">
    <w:abstractNumId w:val="5"/>
  </w:num>
  <w:num w:numId="11">
    <w:abstractNumId w:val="6"/>
  </w:num>
  <w:num w:numId="12">
    <w:abstractNumId w:val="13"/>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 w:type="character" w:customStyle="1" w:styleId="Char0">
    <w:name w:val="柴_正文_无缩进 Char"/>
    <w:link w:val="a3"/>
    <w:qFormat/>
    <w:rPr>
      <w:rFonts w:ascii="Arial"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12</Pages>
  <Words>3659</Words>
  <Characters>3878</Characters>
  <Application>Microsoft Office Word</Application>
  <DocSecurity>0</DocSecurity>
  <Lines>0</Lines>
  <Paragraphs>0</Paragraphs>
  <ScaleCrop>false</ScaleCrop>
  <Company/>
  <LinksUpToDate>false</LinksUpToDate>
  <CharactersWithSpaces>4017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谢永刚</dc:creator>
  <cp:lastModifiedBy>nancy杨茜</cp:lastModifiedBy>
  <cp:revision>0</cp:revision>
  <dcterms:created xsi:type="dcterms:W3CDTF">2025-08-21T04:26:00Z</dcterms:created>
  <dcterms:modified xsi:type="dcterms:W3CDTF">2026-01-07T11:20:25Z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2025-08-27T11:01:54Z</vt:filetime>
  </property>
  <property fmtid="{D5CDD505-2E9C-101B-9397-08002B2CF9AE}" pid="3" name="CRO">
    <vt:lpwstr>wqlLaW5nc29mdCBQREYgdG8gV1BTIDExNQ</vt:lpwstr>
  </property>
  <property fmtid="{D5CDD505-2E9C-101B-9397-08002B2CF9AE}" pid="4" name="ICV">
    <vt:lpwstr>5247E785F6E44B04BCFFB03B33F09DF1_12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