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  <w:rPr>
          <w:rFonts w:hint="eastAsia"/>
          <w:lang w:val="en-US" w:eastAsia="zh-CN"/>
        </w:rPr>
      </w:pPr>
    </w:p>
    <w:p>
      <w:pPr>
        <w:pStyle w:val="a1"/>
        <w:bidi w:val="0"/>
        <w:rPr>
          <w:rFonts w:hint="default"/>
          <w:lang w:val="en-US" w:eastAsia="zh-CN"/>
        </w:rPr>
      </w:pPr>
      <w:bookmarkStart w:id="0" w:name="_Toc27038"/>
      <w:r>
        <w:rPr>
          <w:rFonts w:hint="eastAsia"/>
          <w:lang w:val="en-US" w:eastAsia="zh-CN"/>
        </w:rPr>
        <w:t>容量管理策略</w:t>
      </w:r>
      <w:bookmarkEnd w:id="0"/>
    </w:p>
    <w:p>
      <w:pPr>
        <w:pStyle w:val="a2"/>
        <w:bidi w:val="0"/>
      </w:pPr>
      <w:bookmarkStart w:id="1" w:name="_Toc29985"/>
      <w:r>
        <w:t>中达丰集团有限公司</w:t>
      </w:r>
      <w:bookmarkEnd w:id="1"/>
    </w:p>
    <w:p>
      <w:pPr>
        <w:bidi w:val="0"/>
        <w:jc w:val="center"/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  <w:r>
        <w:rPr>
          <w:rFonts w:ascii="宋体" w:eastAsia="宋体" w:hAnsi="宋体" w:cs="宋体"/>
          <w:spacing w:val="-2"/>
          <w:sz w:val="36"/>
          <w:szCs w:val="36"/>
        </w:rP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2" w:name="_Toc26531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2"/>
    </w:p>
    <w:p>
      <w:pPr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>
        <w:tblPrEx>
          <w:tblW w:w="907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容量管理策略</w:t>
            </w:r>
            <w:r>
              <w:rPr>
                <w:spacing w:val="-1"/>
              </w:rPr>
              <w:t>（ZDFJT-ITSS-</w:t>
            </w:r>
            <w:r>
              <w:rPr>
                <w:rFonts w:eastAsia="宋体" w:hint="eastAsia"/>
                <w:spacing w:val="-1"/>
                <w:lang w:val="en-US" w:eastAsia="zh-CN"/>
              </w:rPr>
              <w:t>RLGL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2025-7-4</w:t>
            </w:r>
          </w:p>
        </w:tc>
        <w:tc>
          <w:tcPr>
            <w:tcW w:w="2302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spacing w:before="134" w:line="220" w:lineRule="auto"/>
              <w:ind w:left="480"/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吴向阳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Times New Roman"/>
          <w:kern w:val="2"/>
          <w:sz w:val="28"/>
          <w:szCs w:val="28"/>
          <w:lang w:val="en-US" w:eastAsia="zh-CN" w:bidi="ar-SA"/>
        </w:rPr>
        <w:id w:val="147465052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_Toc27038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容量管理策略</w:t>
          </w:r>
          <w:r>
            <w:tab/>
          </w:r>
          <w:r>
            <w:fldChar w:fldCharType="begin"/>
          </w:r>
          <w:r>
            <w:instrText xml:space="preserve"> PAGEREF _Toc27038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_Toc29985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_Toc29985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_Toc26531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_Toc26531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_Toc879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_Toc32451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_Toc32451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_Toc26255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_Toc26255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_Toc4105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职责</w:t>
          </w:r>
          <w:r>
            <w:tab/>
          </w:r>
          <w:r>
            <w:fldChar w:fldCharType="begin"/>
          </w:r>
          <w:r>
            <w:instrText xml:space="preserve"> PAGEREF _Toc4105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_Toc26222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_Toc26222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_Toc19059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_Toc19059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_Toc2490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_Toc2490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_Toc26388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_Toc26388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_Toc9702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管理流程</w:t>
          </w:r>
          <w:r>
            <w:tab/>
          </w:r>
          <w:r>
            <w:fldChar w:fldCharType="begin"/>
          </w:r>
          <w:r>
            <w:instrText xml:space="preserve"> PAGEREF _Toc9702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_Toc11130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与其他流程的关系</w:t>
          </w:r>
          <w:r>
            <w:tab/>
          </w:r>
          <w:r>
            <w:fldChar w:fldCharType="begin"/>
          </w:r>
          <w:r>
            <w:instrText xml:space="preserve"> PAGEREF _Toc11130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_Toc16528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关键指标</w:t>
          </w:r>
          <w:r>
            <w:tab/>
          </w:r>
          <w:r>
            <w:fldChar w:fldCharType="begin"/>
          </w:r>
          <w:r>
            <w:instrText xml:space="preserve"> PAGEREF _Toc16528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_Toc3083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相关记录文件</w:t>
          </w:r>
          <w:r>
            <w:tab/>
          </w:r>
          <w:r>
            <w:fldChar w:fldCharType="begin"/>
          </w:r>
          <w:r>
            <w:instrText xml:space="preserve"> PAGEREF _Toc3083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rPr>
              <w:rFonts w:ascii="Times New Roman" w:eastAsia="宋体" w:hAnsi="Times New Roman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rPr>
          <w:rFonts w:ascii="Times New Roman" w:eastAsia="宋体" w:hAnsi="Times New Roman" w:cs="Times New Roman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879"/>
      <w:r>
        <w:rPr>
          <w:rFonts w:hint="default"/>
          <w:lang w:val="en-US" w:eastAsia="zh-CN"/>
        </w:rPr>
        <w:t>目的</w:t>
      </w:r>
      <w:bookmarkEnd w:id="3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的IT系统（包括处理能力、存储空间、网络带宽等）能够经济、及时、有效地满足当前及未来的业务需求，预防因容量不足导致的性能下降或服务中断，特制定本策略。通过系统化的容量规划、监控、分析与优化，保障服务级别协议（SLA）的达成，提升资源利用效率，控制运维成本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32451"/>
      <w:r>
        <w:rPr>
          <w:rFonts w:hint="default"/>
          <w:lang w:val="en-US" w:eastAsia="zh-CN"/>
        </w:rPr>
        <w:t>适用范围</w:t>
      </w:r>
      <w:bookmarkEnd w:id="4"/>
    </w:p>
    <w:p>
      <w:pPr>
        <w:pStyle w:val="a"/>
        <w:bidi w:val="0"/>
        <w:rPr>
          <w:rFonts w:hint="default"/>
          <w:lang w:val="en-US" w:eastAsia="zh-CN"/>
        </w:rPr>
      </w:pPr>
      <w:r>
        <w:t>本策略适用于中达丰集团有限公司运维服务部所管辖的所有IT服务项目与生产环境，涵盖硬件资源（服务器、存储、网络设备）、软件资源（数据库、中间件、应用系统）及性能吞吐量等方面的容量管理活动。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6255"/>
      <w:r>
        <w:rPr>
          <w:rFonts w:hint="eastAsia"/>
          <w:lang w:val="en-US" w:eastAsia="zh-CN"/>
        </w:rPr>
        <w:t>术语与定义</w:t>
      </w:r>
      <w:bookmarkEnd w:id="5"/>
    </w:p>
    <w:tbl>
      <w:tblPr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5"/>
        <w:gridCol w:w="8139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术语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定义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对IT资源进行规划、监控、分析和调整，以确保其能力能够满足当前和未来约定的业务需求的过程。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容量基线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在特定时间段内，系统正常负载下性能与资源使用情况的基准数据，用于趋势对比和异常判断。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容量阈值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预先设定的资源使用率或性能指标临界值，超过该值可能影响服务性能或稳定性，需触发预警或干预行动。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容量预测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基于历史数据和业务增长计划，对未来某一时期容量需求进行的估算和模拟。</w:t>
            </w:r>
          </w:p>
        </w:tc>
      </w:tr>
    </w:tbl>
    <w:p>
      <w:pPr>
        <w:pStyle w:val="a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4105"/>
      <w:r>
        <w:rPr>
          <w:rFonts w:hint="default"/>
          <w:lang w:val="en-US" w:eastAsia="zh-CN"/>
        </w:rPr>
        <w:t>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6222"/>
      <w:r>
        <w:rPr>
          <w:rFonts w:hint="eastAsia"/>
          <w:lang w:val="en-US" w:eastAsia="zh-CN"/>
        </w:rPr>
        <w:t>研发部</w:t>
      </w:r>
      <w:bookmarkEnd w:id="7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负责从技术层面对项目容量计划、容量优化方案进行审批。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负责指导项目容量监控与优化工作。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9059"/>
      <w:r>
        <w:rPr>
          <w:rFonts w:hint="eastAsia"/>
          <w:lang w:val="en-US" w:eastAsia="zh-CN"/>
        </w:rPr>
        <w:t>运维部</w:t>
      </w:r>
      <w:bookmarkEnd w:id="8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负责收集客户业务需求，调查业务系统现状，开展项目容量规划相关工作。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按照规划开展项目的容量监控工作，收集客户业务需求、业务系统容量数据、项目资源容量数据，必要情况下采取临时措施应对系统容量不足的风险。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定期开展容量分析和评估工作，判断系统容量趋势和风险，提出并实施项目容量优化方案。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490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9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负责从业务、成本层面对项目容量计划与优化方案进行审批。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负责定期对容量管理过程的持续改进工作。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26388"/>
      <w:r>
        <w:rPr>
          <w:rFonts w:hint="eastAsia"/>
          <w:lang w:val="en-US" w:eastAsia="zh-CN"/>
        </w:rPr>
        <w:t>运维实施工程师</w:t>
      </w:r>
      <w:bookmarkEnd w:id="10"/>
    </w:p>
    <w:p>
      <w:pPr>
        <w:pStyle w:val="a"/>
        <w:rPr>
          <w:rFonts w:hint="eastAsia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负责执行日常容量监控、数据采集与巡检；处理容量告警；协助进行容量数据的分析与报告编制。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9702"/>
      <w:r>
        <w:rPr>
          <w:rFonts w:hint="default"/>
          <w:lang w:val="en-US" w:eastAsia="zh-CN"/>
        </w:rPr>
        <w:t>管理流程</w:t>
      </w:r>
      <w:bookmarkEnd w:id="11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是一个持续演进、闭环迭代的核心管理流程。它并非一次性项目，而是贯穿服务生命周期的日常性、预测性工作。整个过程始于对业务意图与承诺的理解，终于服务的稳定交付与成本的合理控制，形成“规划-监控-分析-行动-评审”的完整循环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个流程的驱动源来自于业务战略和与服务级别协议（SLA）。运维项目经理首先需系统地收集来自客户业务规划、SLA性能指标、技术架构蓝图、历史性能数据以及法规要求等多方面的容量需求，并整理形成《容量需求清单》，作为所有后续活动的输入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清晰的需求，运维项目经理牵头进行容量分析，核心工作是制定《容量管理计划》。该计划不仅需评估当前资源利用率与性能基线，更需对未来业务增长进行量化预测，并据此规划出包括监控策略、阈值设定、扩容预案、时间表和预算在内的综合性方案，确保容量供给能够前瞻性地匹配业务发展节奏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获批后，即进入实施与监控阶段。运维实施工程师依据计划部署监控工具，对计算、存储、网络及应用性能等关键指标进行持续追踪，并定期生成《容量监控记录》。当指标超过预设阈值时，系统将自动触发告警，此时需立即按事件管理流程介入，进行初步诊断与应急处理，防止事态扩大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产生的海量数据需转化为有效洞察。运维项目经理需定期（至少每季度）执行容量趋势分析，运用统计方法研判资源消耗规律，预测未来的瓶颈与风险点，并编制《容量趋势分析报告》。这份报告是连接监控与行动的桥梁，其核心价值在于识别出“何时需要干预”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旦分析确认了容量瓶颈或迫近的风险，流程便进入优化与调整阶段。团队应优先考虑通过配置调优、架构梳理或资源重整等“软性”优化方案来挖掘现有潜力。若优化无法满足需求，则必须启动扩容或升级的硬件变更。至关重要的一点是，任何涉及资源物理变更或重要参数调整的方案，都必须严格遵循《变更管理流程》进行提交、评估、审批与实施， 以确保变更的受控性与可追溯性。变更实施后，需同步更新配置管理数据库（CMDB）并验证优化效果。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为确保整个容量管理流程的持续有效性与战略一致性，运维部经理需每年至少组织一次正式的容量管理评审。评审会回顾年度计划的执行情况、分析重大容量事件的根本原因、评估预测模型的准确性，并基于业务新规划调整下一周期的容量策略，从而完成从战略到执行、再从执行反馈至战略的闭环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1130"/>
      <w:r>
        <w:rPr>
          <w:rFonts w:hint="default"/>
          <w:lang w:val="en-US" w:eastAsia="zh-CN"/>
        </w:rPr>
        <w:t>与其他流程的关系</w:t>
      </w:r>
      <w:bookmarkEnd w:id="12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与事件管理流程的关系：在容量监控活动中，发现业务系统容量不足的情况，通过事件管理流程进行处置。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与问题管理流程的关系：识别出影响系统容量的隐患，可通过问题管理流程进行处置。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与变更、发布管理流程的关系：系统容量优化的实施可通过变更、发布管理流程进行管控。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与配置管理流程的关系：配置管理数据库为容量管理提供数据范畴。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与可用性和连续管理流程的关系：系统容量的提升在一定程度上能够提升业务系统的可用性和连续性。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6528"/>
      <w:r>
        <w:rPr>
          <w:rFonts w:hint="default"/>
          <w:lang w:val="en-US" w:eastAsia="zh-CN"/>
        </w:rPr>
        <w:t>关键指标</w:t>
      </w:r>
      <w:bookmarkEnd w:id="13"/>
    </w:p>
    <w:tbl>
      <w:tblPr>
        <w:tblStyle w:val="TableNormal0"/>
        <w:tblW w:w="8328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551"/>
        <w:gridCol w:w="3950"/>
        <w:gridCol w:w="1050"/>
        <w:gridCol w:w="1050"/>
      </w:tblGrid>
      <w:tr>
        <w:tblPrEx>
          <w:tblW w:w="8328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9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  <w:bookmarkStart w:id="14" w:name="_GoBack"/>
            <w:bookmarkEnd w:id="14"/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8328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1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容量事件次数</w:t>
            </w:r>
          </w:p>
        </w:tc>
        <w:tc>
          <w:tcPr>
            <w:tcW w:w="395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数量:由于容量原因发生的事件数量</w:t>
            </w:r>
          </w:p>
        </w:tc>
        <w:tc>
          <w:tcPr>
            <w:tcW w:w="105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105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≤2次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5" w:name="_Toc3083"/>
      <w:r>
        <w:rPr>
          <w:rFonts w:hint="default"/>
          <w:lang w:val="en-US" w:eastAsia="zh-CN"/>
        </w:rPr>
        <w:t>相关记录文件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《容量计划》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《容量分析和评估报告》</w:t>
      </w:r>
    </w:p>
    <w:sectPr>
      <w:headerReference w:type="default" r:id="rId4"/>
      <w:footerReference w:type="default" r:id="rId5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9" w:lineRule="auto"/>
      <w:ind w:left="59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34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CCF37B8"/>
    <w:multiLevelType w:val="singleLevel"/>
    <w:tmpl w:val="BCCF37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B18D39"/>
    <w:multiLevelType w:val="singleLevel"/>
    <w:tmpl w:val="63B18D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styleId="NoSpacing">
    <w:name w:val="No Spacing"/>
    <w:uiPriority w:val="99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character" w:customStyle="1" w:styleId="2Char">
    <w:name w:val="标题 2 Char"/>
    <w:link w:val="Heading2"/>
    <w:qFormat/>
    <w:rPr>
      <w:rFonts w:ascii="Arial" w:eastAsia="黑体" w:hAnsi="Arial"/>
      <w:b/>
      <w:sz w:val="32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2136</Words>
  <Characters>2200</Characters>
  <Application>Microsoft Office Word</Application>
  <DocSecurity>0</DocSecurity>
  <Lines>0</Lines>
  <Paragraphs>0</Paragraphs>
  <ScaleCrop>false</ScaleCrop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2025-08-03T15:18:00Z</dcterms:created>
  <dcterms:modified xsi:type="dcterms:W3CDTF">2026-01-10T18:20:29Z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