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bidi w:val="0"/>
        <w:rPr>
          <w:rFonts w:hint="eastAsia"/>
        </w:rPr>
      </w:pPr>
    </w:p>
    <w:p>
      <w:pPr>
        <w:pStyle w:val="a"/>
        <w:bidi w:val="0"/>
        <w:rPr>
          <w:rFonts w:eastAsia="宋体" w:hint="eastAsia"/>
          <w:lang w:eastAsia="zh-CN"/>
        </w:rPr>
      </w:pPr>
      <w:bookmarkStart w:id="0" w:name="_Toc20395"/>
      <w:r>
        <w:rPr>
          <w:rFonts w:hint="eastAsia"/>
        </w:rPr>
        <w:t>临夏回族自治州中医医院“智慧银医”项目</w:t>
      </w:r>
      <w:r>
        <w:rPr>
          <w:rFonts w:hint="eastAsia"/>
          <w:lang w:val="en-US" w:eastAsia="zh-CN"/>
        </w:rPr>
        <w:t>连续</w:t>
      </w:r>
      <w:r>
        <w:t>性</w:t>
      </w:r>
      <w:r>
        <w:rPr>
          <w:rFonts w:hint="eastAsia"/>
          <w:lang w:val="en-US" w:eastAsia="zh-CN"/>
        </w:rPr>
        <w:t>报告</w:t>
      </w:r>
      <w:bookmarkEnd w:id="0"/>
    </w:p>
    <w:p>
      <w:pPr>
        <w:pStyle w:val="a0"/>
        <w:bidi w:val="0"/>
      </w:pPr>
      <w:bookmarkStart w:id="1" w:name="_Toc26935"/>
      <w:r>
        <w:t>中达丰集团有限公司</w:t>
      </w:r>
      <w:bookmarkEnd w:id="1"/>
    </w:p>
    <w:p>
      <w:pPr>
        <w:spacing w:before="117" w:line="219" w:lineRule="auto"/>
        <w:jc w:val="center"/>
        <w:rPr>
          <w:rFonts w:ascii="宋体" w:eastAsia="宋体" w:hAnsi="宋体" w:cs="宋体" w:hint="default"/>
          <w:sz w:val="36"/>
          <w:szCs w:val="36"/>
          <w:lang w:val="en-US" w:eastAsia="zh-CN"/>
        </w:rPr>
      </w:pPr>
      <w:r>
        <w:rPr>
          <w:rFonts w:ascii="宋体" w:eastAsia="宋体" w:hAnsi="宋体" w:cs="宋体"/>
          <w:spacing w:val="-2"/>
          <w:sz w:val="36"/>
          <w:szCs w:val="36"/>
        </w:rPr>
        <w:t>202</w:t>
      </w:r>
      <w:r>
        <w:rPr>
          <w:rFonts w:ascii="宋体" w:hAnsi="宋体" w:cs="宋体" w:hint="eastAsia"/>
          <w:spacing w:val="-2"/>
          <w:sz w:val="36"/>
          <w:szCs w:val="36"/>
          <w:lang w:val="en-US" w:eastAsia="zh-CN"/>
        </w:rPr>
        <w:t>5</w:t>
      </w:r>
      <w:r>
        <w:rPr>
          <w:rFonts w:ascii="宋体" w:eastAsia="宋体" w:hAnsi="宋体" w:cs="宋体"/>
          <w:spacing w:val="-2"/>
          <w:sz w:val="36"/>
          <w:szCs w:val="36"/>
        </w:rPr>
        <w:t>-</w:t>
      </w:r>
      <w:r>
        <w:rPr>
          <w:rFonts w:ascii="宋体" w:hAnsi="宋体" w:cs="宋体" w:hint="eastAsia"/>
          <w:spacing w:val="-2"/>
          <w:sz w:val="36"/>
          <w:szCs w:val="36"/>
          <w:lang w:val="en-US" w:eastAsia="zh-CN"/>
        </w:rPr>
        <w:t>10</w:t>
      </w:r>
      <w:r>
        <w:rPr>
          <w:rFonts w:ascii="宋体" w:eastAsia="宋体" w:hAnsi="宋体" w:cs="宋体"/>
          <w:spacing w:val="-2"/>
          <w:sz w:val="36"/>
          <w:szCs w:val="36"/>
        </w:rPr>
        <w:t>-</w:t>
      </w:r>
      <w:r>
        <w:rPr>
          <w:rFonts w:ascii="宋体" w:hAnsi="宋体" w:cs="宋体" w:hint="eastAsia"/>
          <w:spacing w:val="-2"/>
          <w:sz w:val="36"/>
          <w:szCs w:val="36"/>
          <w:lang w:val="en-US" w:eastAsia="zh-CN"/>
        </w:rPr>
        <w:t>20</w:t>
      </w:r>
    </w:p>
    <w:p>
      <w:r>
        <w:br w:type="page"/>
      </w:r>
    </w:p>
    <w:p>
      <w:pPr>
        <w:spacing w:before="69" w:line="220" w:lineRule="auto"/>
        <w:ind w:left="3954"/>
        <w:outlineLvl w:val="0"/>
        <w:rPr>
          <w:rFonts w:ascii="宋体" w:eastAsia="宋体" w:hAnsi="宋体" w:cs="宋体"/>
          <w:sz w:val="21"/>
          <w:szCs w:val="21"/>
        </w:rPr>
      </w:pPr>
      <w:bookmarkStart w:id="2" w:name="_Toc23613"/>
      <w:r>
        <w:rPr>
          <w:rFonts w:ascii="宋体" w:eastAsia="宋体" w:hAnsi="宋体" w:cs="宋体"/>
          <w:spacing w:val="-2"/>
          <w:sz w:val="21"/>
          <w:szCs w:val="21"/>
        </w:rPr>
        <w:t>文档信息</w:t>
      </w:r>
      <w:bookmarkEnd w:id="2"/>
    </w:p>
    <w:p>
      <w:pPr>
        <w:spacing w:line="16" w:lineRule="exact"/>
      </w:pPr>
    </w:p>
    <w:tbl>
      <w:tblPr>
        <w:tblStyle w:val="TableNormal0"/>
        <w:tblW w:w="907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1704"/>
        <w:gridCol w:w="1555"/>
        <w:gridCol w:w="2302"/>
        <w:gridCol w:w="1557"/>
        <w:gridCol w:w="1953"/>
      </w:tblGrid>
      <w:tr>
        <w:tblPrEx>
          <w:tblW w:w="907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611"/>
        </w:trPr>
        <w:tc>
          <w:tcPr>
            <w:tcW w:w="1704" w:type="dxa"/>
          </w:tcPr>
          <w:p>
            <w:pPr>
              <w:pStyle w:val="TableText"/>
              <w:spacing w:before="199" w:line="220" w:lineRule="auto"/>
              <w:ind w:left="225"/>
            </w:pPr>
            <w:r>
              <w:rPr>
                <w:spacing w:val="-2"/>
              </w:rPr>
              <w:t>文档名称编号</w:t>
            </w:r>
          </w:p>
        </w:tc>
        <w:tc>
          <w:tcPr>
            <w:tcW w:w="7367" w:type="dxa"/>
            <w:gridSpan w:val="4"/>
          </w:tcPr>
          <w:p>
            <w:pPr>
              <w:pStyle w:val="TableText"/>
              <w:spacing w:before="200" w:line="218" w:lineRule="auto"/>
              <w:ind w:left="108"/>
            </w:pPr>
            <w:r>
              <w:rPr>
                <w:rFonts w:eastAsia="宋体" w:hint="eastAsia"/>
                <w:spacing w:val="-1"/>
                <w:lang w:val="en-US" w:eastAsia="zh-CN"/>
              </w:rPr>
              <w:t>可用性计划</w:t>
            </w:r>
            <w:r>
              <w:rPr>
                <w:spacing w:val="-1"/>
              </w:rPr>
              <w:t>（ZDFJT-ITSS-</w:t>
            </w:r>
            <w:r>
              <w:rPr>
                <w:rFonts w:eastAsia="宋体" w:hint="eastAsia"/>
                <w:spacing w:val="-1"/>
                <w:lang w:val="en-US" w:eastAsia="zh-CN"/>
              </w:rPr>
              <w:t>KYX</w:t>
            </w:r>
            <w:r>
              <w:rPr>
                <w:rFonts w:hint="eastAsia"/>
                <w:spacing w:val="-1"/>
                <w:lang w:val="en-US" w:eastAsia="zh-CN"/>
              </w:rPr>
              <w:t>BG</w:t>
            </w:r>
            <w:r>
              <w:rPr>
                <w:spacing w:val="-1"/>
              </w:rPr>
              <w:t>）</w:t>
            </w:r>
          </w:p>
        </w:tc>
      </w:tr>
      <w:tr>
        <w:tblPrEx>
          <w:tblW w:w="9071" w:type="dxa"/>
          <w:tblInd w:w="5" w:type="dxa"/>
          <w:tblLayout w:type="fixed"/>
          <w:tblCellMar>
            <w:top w:w="0" w:type="dxa"/>
            <w:left w:w="0" w:type="dxa"/>
            <w:bottom w:w="0" w:type="dxa"/>
            <w:right w:w="0" w:type="dxa"/>
          </w:tblCellMar>
        </w:tblPrEx>
        <w:trPr>
          <w:trHeight w:val="606"/>
        </w:trPr>
        <w:tc>
          <w:tcPr>
            <w:tcW w:w="1704" w:type="dxa"/>
          </w:tcPr>
          <w:p>
            <w:pPr>
              <w:pStyle w:val="TableText"/>
              <w:spacing w:before="196" w:line="220" w:lineRule="auto"/>
              <w:ind w:left="435"/>
            </w:pPr>
            <w:r>
              <w:rPr>
                <w:spacing w:val="-2"/>
              </w:rPr>
              <w:t>编制单位</w:t>
            </w:r>
          </w:p>
        </w:tc>
        <w:tc>
          <w:tcPr>
            <w:tcW w:w="7367" w:type="dxa"/>
            <w:gridSpan w:val="4"/>
          </w:tcPr>
          <w:p>
            <w:pPr>
              <w:pStyle w:val="TableText"/>
              <w:spacing w:before="197" w:line="219" w:lineRule="auto"/>
              <w:ind w:left="108"/>
            </w:pPr>
            <w:r>
              <w:rPr>
                <w:spacing w:val="-1"/>
              </w:rPr>
              <w:t>中达丰集团有限公司</w:t>
            </w:r>
          </w:p>
        </w:tc>
      </w:tr>
      <w:tr>
        <w:tblPrEx>
          <w:tblW w:w="9071" w:type="dxa"/>
          <w:tblInd w:w="5" w:type="dxa"/>
          <w:tblLayout w:type="fixed"/>
          <w:tblCellMar>
            <w:top w:w="0" w:type="dxa"/>
            <w:left w:w="0" w:type="dxa"/>
            <w:bottom w:w="0" w:type="dxa"/>
            <w:right w:w="0" w:type="dxa"/>
          </w:tblCellMar>
        </w:tblPrEx>
        <w:trPr>
          <w:trHeight w:val="607"/>
        </w:trPr>
        <w:tc>
          <w:tcPr>
            <w:tcW w:w="1704" w:type="dxa"/>
          </w:tcPr>
          <w:p>
            <w:pPr>
              <w:pStyle w:val="TableText"/>
              <w:spacing w:before="199" w:line="219" w:lineRule="auto"/>
              <w:ind w:left="435"/>
            </w:pPr>
            <w:r>
              <w:rPr>
                <w:spacing w:val="-2"/>
              </w:rPr>
              <w:t>文档版本</w:t>
            </w:r>
          </w:p>
        </w:tc>
        <w:tc>
          <w:tcPr>
            <w:tcW w:w="1555" w:type="dxa"/>
          </w:tcPr>
          <w:p>
            <w:pPr>
              <w:pStyle w:val="TableText"/>
              <w:spacing w:before="199" w:line="219" w:lineRule="auto"/>
              <w:ind w:left="359"/>
            </w:pPr>
            <w:r>
              <w:rPr>
                <w:spacing w:val="-2"/>
              </w:rPr>
              <w:t>版本日期</w:t>
            </w:r>
          </w:p>
        </w:tc>
        <w:tc>
          <w:tcPr>
            <w:tcW w:w="2302" w:type="dxa"/>
          </w:tcPr>
          <w:p>
            <w:pPr>
              <w:pStyle w:val="TableText"/>
              <w:spacing w:before="199" w:line="219" w:lineRule="auto"/>
              <w:ind w:left="735"/>
            </w:pPr>
            <w:r>
              <w:rPr>
                <w:spacing w:val="-2"/>
              </w:rPr>
              <w:t>版本说明</w:t>
            </w:r>
          </w:p>
        </w:tc>
        <w:tc>
          <w:tcPr>
            <w:tcW w:w="1557" w:type="dxa"/>
          </w:tcPr>
          <w:p>
            <w:pPr>
              <w:pStyle w:val="TableText"/>
              <w:spacing w:before="199" w:line="220" w:lineRule="auto"/>
              <w:ind w:left="575"/>
            </w:pPr>
            <w:r>
              <w:rPr>
                <w:spacing w:val="-3"/>
              </w:rPr>
              <w:t>作者</w:t>
            </w:r>
          </w:p>
        </w:tc>
        <w:tc>
          <w:tcPr>
            <w:tcW w:w="1953" w:type="dxa"/>
          </w:tcPr>
          <w:p>
            <w:pPr>
              <w:pStyle w:val="TableText"/>
              <w:spacing w:before="199" w:line="220" w:lineRule="auto"/>
              <w:ind w:left="782"/>
            </w:pPr>
            <w:r>
              <w:rPr>
                <w:spacing w:val="-5"/>
              </w:rPr>
              <w:t>审核</w:t>
            </w:r>
          </w:p>
        </w:tc>
      </w:tr>
      <w:tr>
        <w:tblPrEx>
          <w:tblW w:w="9071" w:type="dxa"/>
          <w:tblInd w:w="5" w:type="dxa"/>
          <w:tblLayout w:type="fixed"/>
          <w:tblCellMar>
            <w:top w:w="0" w:type="dxa"/>
            <w:left w:w="0" w:type="dxa"/>
            <w:bottom w:w="0" w:type="dxa"/>
            <w:right w:w="0" w:type="dxa"/>
          </w:tblCellMar>
        </w:tblPrEx>
        <w:trPr>
          <w:trHeight w:val="474"/>
        </w:trPr>
        <w:tc>
          <w:tcPr>
            <w:tcW w:w="1704" w:type="dxa"/>
          </w:tcPr>
          <w:p>
            <w:pPr>
              <w:pStyle w:val="TableText"/>
              <w:spacing w:before="163" w:line="239" w:lineRule="auto"/>
              <w:ind w:left="638"/>
            </w:pPr>
            <w:r>
              <w:rPr>
                <w:spacing w:val="-1"/>
              </w:rPr>
              <w:t>V1.0</w:t>
            </w:r>
          </w:p>
        </w:tc>
        <w:tc>
          <w:tcPr>
            <w:tcW w:w="1555" w:type="dxa"/>
          </w:tcPr>
          <w:p>
            <w:pPr>
              <w:pStyle w:val="TableText"/>
              <w:spacing w:before="163"/>
              <w:ind w:left="361"/>
              <w:rPr>
                <w:rFonts w:eastAsia="宋体" w:hint="default"/>
                <w:lang w:val="en-US" w:eastAsia="zh-CN"/>
              </w:rPr>
            </w:pPr>
            <w:r>
              <w:rPr>
                <w:spacing w:val="-2"/>
              </w:rPr>
              <w:t>20</w:t>
            </w:r>
            <w:r>
              <w:rPr>
                <w:rFonts w:eastAsia="宋体" w:hint="eastAsia"/>
                <w:spacing w:val="-2"/>
                <w:lang w:val="en-US" w:eastAsia="zh-CN"/>
              </w:rPr>
              <w:t>25</w:t>
            </w:r>
            <w:r>
              <w:rPr>
                <w:spacing w:val="-2"/>
              </w:rPr>
              <w:t>-1</w:t>
            </w:r>
            <w:r>
              <w:rPr>
                <w:rFonts w:hint="eastAsia"/>
                <w:spacing w:val="-2"/>
                <w:lang w:val="en-US" w:eastAsia="zh-CN"/>
              </w:rPr>
              <w:t>0</w:t>
            </w:r>
            <w:r>
              <w:rPr>
                <w:spacing w:val="-2"/>
              </w:rPr>
              <w:t>-</w:t>
            </w:r>
            <w:r>
              <w:rPr>
                <w:rFonts w:hint="eastAsia"/>
                <w:spacing w:val="-2"/>
                <w:lang w:val="en-US" w:eastAsia="zh-CN"/>
              </w:rPr>
              <w:t>20</w:t>
            </w:r>
          </w:p>
        </w:tc>
        <w:tc>
          <w:tcPr>
            <w:tcW w:w="2302" w:type="dxa"/>
          </w:tcPr>
          <w:p>
            <w:pPr>
              <w:pStyle w:val="TableText"/>
              <w:spacing w:before="133" w:line="219" w:lineRule="auto"/>
              <w:ind w:left="738"/>
            </w:pPr>
            <w:r>
              <w:rPr>
                <w:spacing w:val="-3"/>
              </w:rPr>
              <w:t>发布版本</w:t>
            </w:r>
          </w:p>
        </w:tc>
        <w:tc>
          <w:tcPr>
            <w:tcW w:w="1557" w:type="dxa"/>
          </w:tcPr>
          <w:p>
            <w:pPr>
              <w:pStyle w:val="TableText"/>
              <w:spacing w:before="134" w:line="220" w:lineRule="auto"/>
              <w:ind w:left="480"/>
              <w:rPr>
                <w:rFonts w:eastAsia="宋体" w:hint="eastAsia"/>
                <w:lang w:val="en-US" w:eastAsia="zh-CN"/>
              </w:rPr>
            </w:pPr>
            <w:r>
              <w:rPr>
                <w:rFonts w:eastAsia="宋体" w:hint="eastAsia"/>
                <w:lang w:val="en-US" w:eastAsia="zh-CN"/>
              </w:rPr>
              <w:t>肖龙莽</w:t>
            </w:r>
          </w:p>
        </w:tc>
        <w:tc>
          <w:tcPr>
            <w:tcW w:w="1953" w:type="dxa"/>
          </w:tcPr>
          <w:p>
            <w:pPr>
              <w:pStyle w:val="TableText"/>
              <w:spacing w:before="133" w:line="220" w:lineRule="auto"/>
              <w:ind w:left="672"/>
            </w:pPr>
            <w:r>
              <w:rPr>
                <w:spacing w:val="-3"/>
              </w:rPr>
              <w:t>吴向阳</w:t>
            </w:r>
          </w:p>
        </w:tc>
      </w:tr>
      <w:tr>
        <w:tblPrEx>
          <w:tblW w:w="9071" w:type="dxa"/>
          <w:tblInd w:w="5" w:type="dxa"/>
          <w:tblLayout w:type="fixed"/>
          <w:tblCellMar>
            <w:top w:w="0" w:type="dxa"/>
            <w:left w:w="0" w:type="dxa"/>
            <w:bottom w:w="0" w:type="dxa"/>
            <w:right w:w="0" w:type="dxa"/>
          </w:tblCellMar>
        </w:tblPrEx>
        <w:trPr>
          <w:trHeight w:val="474"/>
        </w:trPr>
        <w:tc>
          <w:tcPr>
            <w:tcW w:w="1704" w:type="dxa"/>
          </w:tcPr>
          <w:p>
            <w:pPr>
              <w:pStyle w:val="TableText"/>
              <w:spacing w:before="164" w:line="239" w:lineRule="auto"/>
              <w:ind w:left="638"/>
            </w:pPr>
          </w:p>
        </w:tc>
        <w:tc>
          <w:tcPr>
            <w:tcW w:w="1555" w:type="dxa"/>
          </w:tcPr>
          <w:p>
            <w:pPr>
              <w:pStyle w:val="TableText"/>
              <w:spacing w:before="164"/>
              <w:ind w:left="361"/>
            </w:pPr>
          </w:p>
        </w:tc>
        <w:tc>
          <w:tcPr>
            <w:tcW w:w="2302" w:type="dxa"/>
          </w:tcPr>
          <w:p>
            <w:pPr>
              <w:pStyle w:val="TableText"/>
              <w:spacing w:before="134" w:line="219" w:lineRule="auto"/>
              <w:ind w:left="737"/>
            </w:pPr>
          </w:p>
        </w:tc>
        <w:tc>
          <w:tcPr>
            <w:tcW w:w="1557" w:type="dxa"/>
          </w:tcPr>
          <w:p>
            <w:pPr>
              <w:pStyle w:val="TableText"/>
              <w:spacing w:before="135" w:line="220" w:lineRule="auto"/>
              <w:ind w:left="480"/>
            </w:pPr>
          </w:p>
        </w:tc>
        <w:tc>
          <w:tcPr>
            <w:tcW w:w="1953" w:type="dxa"/>
          </w:tcPr>
          <w:p>
            <w:pPr>
              <w:pStyle w:val="TableText"/>
              <w:spacing w:before="134" w:line="220" w:lineRule="auto"/>
              <w:ind w:left="672"/>
            </w:pPr>
          </w:p>
        </w:tc>
      </w:tr>
      <w:tr>
        <w:tblPrEx>
          <w:tblW w:w="9071" w:type="dxa"/>
          <w:tblInd w:w="5" w:type="dxa"/>
          <w:tblLayout w:type="fixed"/>
          <w:tblCellMar>
            <w:top w:w="0" w:type="dxa"/>
            <w:left w:w="0" w:type="dxa"/>
            <w:bottom w:w="0" w:type="dxa"/>
            <w:right w:w="0" w:type="dxa"/>
          </w:tblCellMar>
        </w:tblPrEx>
        <w:trPr>
          <w:trHeight w:val="474"/>
        </w:trPr>
        <w:tc>
          <w:tcPr>
            <w:tcW w:w="1704" w:type="dxa"/>
          </w:tcPr>
          <w:p>
            <w:pPr>
              <w:pStyle w:val="TableText"/>
              <w:spacing w:before="165" w:line="239" w:lineRule="auto"/>
              <w:ind w:left="638"/>
            </w:pPr>
          </w:p>
        </w:tc>
        <w:tc>
          <w:tcPr>
            <w:tcW w:w="1555" w:type="dxa"/>
          </w:tcPr>
          <w:p>
            <w:pPr>
              <w:pStyle w:val="TableText"/>
              <w:spacing w:before="165"/>
              <w:ind w:left="361"/>
            </w:pPr>
          </w:p>
        </w:tc>
        <w:tc>
          <w:tcPr>
            <w:tcW w:w="2302" w:type="dxa"/>
          </w:tcPr>
          <w:p>
            <w:pPr>
              <w:pStyle w:val="TableText"/>
              <w:spacing w:before="135" w:line="219" w:lineRule="auto"/>
              <w:ind w:left="737"/>
            </w:pPr>
          </w:p>
        </w:tc>
        <w:tc>
          <w:tcPr>
            <w:tcW w:w="1557" w:type="dxa"/>
          </w:tcPr>
          <w:p>
            <w:pPr>
              <w:pStyle w:val="TableText"/>
              <w:spacing w:before="136" w:line="220" w:lineRule="auto"/>
              <w:ind w:left="480"/>
            </w:pPr>
          </w:p>
        </w:tc>
        <w:tc>
          <w:tcPr>
            <w:tcW w:w="1953" w:type="dxa"/>
          </w:tcPr>
          <w:p>
            <w:pPr>
              <w:pStyle w:val="TableText"/>
              <w:spacing w:before="135" w:line="220" w:lineRule="auto"/>
              <w:ind w:left="672"/>
            </w:pPr>
          </w:p>
        </w:tc>
      </w:tr>
      <w:tr>
        <w:tblPrEx>
          <w:tblW w:w="9071" w:type="dxa"/>
          <w:tblInd w:w="5" w:type="dxa"/>
          <w:tblLayout w:type="fixed"/>
          <w:tblCellMar>
            <w:top w:w="0" w:type="dxa"/>
            <w:left w:w="0" w:type="dxa"/>
            <w:bottom w:w="0" w:type="dxa"/>
            <w:right w:w="0" w:type="dxa"/>
          </w:tblCellMar>
        </w:tblPrEx>
        <w:trPr>
          <w:trHeight w:val="474"/>
        </w:trPr>
        <w:tc>
          <w:tcPr>
            <w:tcW w:w="1704" w:type="dxa"/>
          </w:tcPr>
          <w:p>
            <w:pPr>
              <w:pStyle w:val="TableText"/>
              <w:spacing w:before="166" w:line="239" w:lineRule="auto"/>
              <w:ind w:left="638"/>
            </w:pPr>
          </w:p>
        </w:tc>
        <w:tc>
          <w:tcPr>
            <w:tcW w:w="1555" w:type="dxa"/>
          </w:tcPr>
          <w:p>
            <w:pPr>
              <w:pStyle w:val="TableText"/>
              <w:spacing w:before="166"/>
              <w:ind w:left="361"/>
            </w:pPr>
          </w:p>
        </w:tc>
        <w:tc>
          <w:tcPr>
            <w:tcW w:w="2302" w:type="dxa"/>
          </w:tcPr>
          <w:p>
            <w:pPr>
              <w:pStyle w:val="TableText"/>
              <w:spacing w:before="136" w:line="219" w:lineRule="auto"/>
              <w:ind w:left="737"/>
            </w:pPr>
          </w:p>
        </w:tc>
        <w:tc>
          <w:tcPr>
            <w:tcW w:w="1557" w:type="dxa"/>
          </w:tcPr>
          <w:p>
            <w:pPr>
              <w:pStyle w:val="TableText"/>
              <w:spacing w:before="137" w:line="220" w:lineRule="auto"/>
              <w:ind w:left="480"/>
            </w:pPr>
          </w:p>
        </w:tc>
        <w:tc>
          <w:tcPr>
            <w:tcW w:w="1953" w:type="dxa"/>
          </w:tcPr>
          <w:p>
            <w:pPr>
              <w:pStyle w:val="TableText"/>
              <w:spacing w:before="136" w:line="220" w:lineRule="auto"/>
              <w:ind w:left="672"/>
            </w:pPr>
          </w:p>
        </w:tc>
      </w:tr>
      <w:tr>
        <w:tblPrEx>
          <w:tblW w:w="9071" w:type="dxa"/>
          <w:tblInd w:w="5" w:type="dxa"/>
          <w:tblLayout w:type="fixed"/>
          <w:tblCellMar>
            <w:top w:w="0" w:type="dxa"/>
            <w:left w:w="0" w:type="dxa"/>
            <w:bottom w:w="0" w:type="dxa"/>
            <w:right w:w="0" w:type="dxa"/>
          </w:tblCellMar>
        </w:tblPrEx>
        <w:trPr>
          <w:trHeight w:val="589"/>
        </w:trPr>
        <w:tc>
          <w:tcPr>
            <w:tcW w:w="1704" w:type="dxa"/>
          </w:tcPr>
          <w:p>
            <w:pPr>
              <w:rPr>
                <w:rFonts w:ascii="Arial"/>
                <w:sz w:val="21"/>
              </w:rPr>
            </w:pPr>
          </w:p>
        </w:tc>
        <w:tc>
          <w:tcPr>
            <w:tcW w:w="1555" w:type="dxa"/>
          </w:tcPr>
          <w:p>
            <w:pPr>
              <w:rPr>
                <w:rFonts w:ascii="Arial"/>
                <w:sz w:val="21"/>
              </w:rPr>
            </w:pPr>
          </w:p>
        </w:tc>
        <w:tc>
          <w:tcPr>
            <w:tcW w:w="2302" w:type="dxa"/>
          </w:tcPr>
          <w:p>
            <w:pPr>
              <w:rPr>
                <w:rFonts w:ascii="Arial"/>
                <w:sz w:val="21"/>
              </w:rPr>
            </w:pPr>
          </w:p>
        </w:tc>
        <w:tc>
          <w:tcPr>
            <w:tcW w:w="1557" w:type="dxa"/>
          </w:tcPr>
          <w:p>
            <w:pPr>
              <w:rPr>
                <w:rFonts w:ascii="Arial"/>
                <w:sz w:val="21"/>
              </w:rPr>
            </w:pPr>
          </w:p>
        </w:tc>
        <w:tc>
          <w:tcPr>
            <w:tcW w:w="1953" w:type="dxa"/>
          </w:tcPr>
          <w:p>
            <w:pPr>
              <w:rPr>
                <w:rFonts w:ascii="Arial"/>
                <w:sz w:val="21"/>
              </w:rPr>
            </w:pPr>
          </w:p>
        </w:tc>
      </w:tr>
    </w:tbl>
    <w:p>
      <w:r>
        <w:br w:type="page"/>
      </w:r>
    </w:p>
    <w:sdt>
      <w:sdtPr>
        <w:rPr>
          <w:rFonts w:ascii="宋体" w:eastAsia="宋体" w:hAnsi="宋体" w:cs="Arial"/>
          <w:snapToGrid w:val="0"/>
          <w:color w:val="000000"/>
          <w:kern w:val="0"/>
          <w:sz w:val="21"/>
          <w:szCs w:val="21"/>
          <w:lang w:val="en-US" w:eastAsia="en-US" w:bidi="ar-SA"/>
        </w:rPr>
        <w:id w:val="147473573"/>
        <w:docPartObj>
          <w:docPartGallery w:val="Table of Contents"/>
          <w:docPartUnique/>
        </w:docPartObj>
      </w:sdtPr>
      <w:sdtEndPr>
        <w:rPr>
          <w:rFonts w:ascii="Arial" w:eastAsia="宋体" w:hAnsi="Arial" w:cs="Arial"/>
          <w:snapToGrid w:val="0"/>
          <w:color w:val="000000"/>
          <w:kern w:val="0"/>
          <w:sz w:val="21"/>
          <w:szCs w:val="21"/>
          <w:lang w:val="en-US" w:eastAsia="en-US" w:bidi="ar-SA"/>
        </w:rPr>
      </w:sdtEndPr>
      <w:sdtContent>
        <w:p>
          <w:pPr>
            <w:spacing w:before="0" w:beforeLines="0" w:after="0" w:afterLines="0" w:line="240" w:lineRule="auto"/>
            <w:ind w:left="0" w:right="0" w:firstLine="0" w:leftChars="0" w:rightChars="0" w:firstLineChars="0"/>
            <w:jc w:val="center"/>
          </w:pPr>
          <w:r>
            <w:rPr>
              <w:rFonts w:ascii="宋体" w:eastAsia="宋体" w:hAnsi="宋体"/>
              <w:sz w:val="21"/>
            </w:rPr>
            <w:t>目录</w:t>
          </w:r>
        </w:p>
        <w:p>
          <w:pPr>
            <w:pStyle w:val="TOC1"/>
            <w:tabs>
              <w:tab w:val="right" w:leader="dot" w:pos="9743"/>
            </w:tabs>
          </w:pPr>
          <w:r>
            <w:fldChar w:fldCharType="begin"/>
          </w:r>
          <w:r>
            <w:instrText xml:space="preserve">TOC \o "1-3" \h \u </w:instrText>
          </w:r>
          <w:r>
            <w:fldChar w:fldCharType="separate"/>
          </w:r>
          <w:r>
            <w:fldChar w:fldCharType="begin"/>
          </w:r>
          <w:r>
            <w:instrText xml:space="preserve"> HYPERLINK \l _Toc20395 </w:instrText>
          </w:r>
          <w:r>
            <w:fldChar w:fldCharType="separate"/>
          </w:r>
          <w:r>
            <w:rPr>
              <w:rFonts w:hint="eastAsia"/>
            </w:rPr>
            <w:t>临夏回族自治州中医医院“智慧银医”项目</w:t>
          </w:r>
          <w:r>
            <w:rPr>
              <w:rFonts w:hint="eastAsia"/>
              <w:lang w:val="en-US" w:eastAsia="zh-CN"/>
            </w:rPr>
            <w:t>连续</w:t>
          </w:r>
          <w:r>
            <w:t>性</w:t>
          </w:r>
          <w:r>
            <w:rPr>
              <w:rFonts w:hint="eastAsia"/>
              <w:lang w:val="en-US" w:eastAsia="zh-CN"/>
            </w:rPr>
            <w:t>报告</w:t>
          </w:r>
          <w:r>
            <w:tab/>
          </w:r>
          <w:r>
            <w:fldChar w:fldCharType="begin"/>
          </w:r>
          <w:r>
            <w:instrText xml:space="preserve"> PAGEREF _Toc20395 \h </w:instrText>
          </w:r>
          <w:r>
            <w:fldChar w:fldCharType="separate"/>
          </w:r>
          <w:r>
            <w:t>1</w:t>
          </w:r>
          <w:r>
            <w:fldChar w:fldCharType="end"/>
          </w:r>
          <w:r>
            <w:fldChar w:fldCharType="end"/>
          </w:r>
        </w:p>
        <w:p>
          <w:pPr>
            <w:pStyle w:val="TOC1"/>
            <w:tabs>
              <w:tab w:val="right" w:leader="dot" w:pos="9743"/>
            </w:tabs>
          </w:pPr>
          <w:r>
            <w:fldChar w:fldCharType="begin"/>
          </w:r>
          <w:r>
            <w:instrText xml:space="preserve"> HYPERLINK \l _Toc26935 </w:instrText>
          </w:r>
          <w:r>
            <w:fldChar w:fldCharType="separate"/>
          </w:r>
          <w:r>
            <w:t>中达丰集团有限公司</w:t>
          </w:r>
          <w:r>
            <w:tab/>
          </w:r>
          <w:r>
            <w:fldChar w:fldCharType="begin"/>
          </w:r>
          <w:r>
            <w:instrText xml:space="preserve"> PAGEREF _Toc26935 \h </w:instrText>
          </w:r>
          <w:r>
            <w:fldChar w:fldCharType="separate"/>
          </w:r>
          <w:r>
            <w:t>1</w:t>
          </w:r>
          <w:r>
            <w:fldChar w:fldCharType="end"/>
          </w:r>
          <w:r>
            <w:fldChar w:fldCharType="end"/>
          </w:r>
        </w:p>
        <w:p>
          <w:pPr>
            <w:pStyle w:val="TOC1"/>
            <w:tabs>
              <w:tab w:val="right" w:leader="dot" w:pos="9743"/>
            </w:tabs>
          </w:pPr>
          <w:r>
            <w:fldChar w:fldCharType="begin"/>
          </w:r>
          <w:r>
            <w:instrText xml:space="preserve"> HYPERLINK \l _Toc23613 </w:instrText>
          </w:r>
          <w:r>
            <w:fldChar w:fldCharType="separate"/>
          </w:r>
          <w:r>
            <w:rPr>
              <w:rFonts w:ascii="宋体" w:eastAsia="宋体" w:hAnsi="宋体" w:cs="宋体"/>
              <w:spacing w:val="-2"/>
              <w:szCs w:val="21"/>
            </w:rPr>
            <w:t>文档信息</w:t>
          </w:r>
          <w:r>
            <w:tab/>
          </w:r>
          <w:r>
            <w:fldChar w:fldCharType="begin"/>
          </w:r>
          <w:r>
            <w:instrText xml:space="preserve"> PAGEREF _Toc23613 \h </w:instrText>
          </w:r>
          <w:r>
            <w:fldChar w:fldCharType="separate"/>
          </w:r>
          <w:r>
            <w:t>2</w:t>
          </w:r>
          <w:r>
            <w:fldChar w:fldCharType="end"/>
          </w:r>
          <w:r>
            <w:fldChar w:fldCharType="end"/>
          </w:r>
        </w:p>
        <w:p>
          <w:pPr>
            <w:pStyle w:val="TOC1"/>
            <w:tabs>
              <w:tab w:val="right" w:leader="dot" w:pos="9743"/>
            </w:tabs>
          </w:pPr>
          <w:r>
            <w:fldChar w:fldCharType="begin"/>
          </w:r>
          <w:r>
            <w:instrText xml:space="preserve"> HYPERLINK \l _Toc10329 </w:instrText>
          </w:r>
          <w:r>
            <w:fldChar w:fldCharType="separate"/>
          </w:r>
          <w:r>
            <w:rPr>
              <w:rFonts w:hint="default"/>
            </w:rPr>
            <w:t xml:space="preserve">1. </w:t>
          </w:r>
          <w:r>
            <w:rPr>
              <w:rFonts w:hint="eastAsia"/>
            </w:rPr>
            <w:t>执行摘要</w:t>
          </w:r>
          <w:r>
            <w:tab/>
          </w:r>
          <w:r>
            <w:fldChar w:fldCharType="begin"/>
          </w:r>
          <w:r>
            <w:instrText xml:space="preserve"> PAGEREF _Toc10329 \h </w:instrText>
          </w:r>
          <w:r>
            <w:fldChar w:fldCharType="separate"/>
          </w:r>
          <w:r>
            <w:t>4</w:t>
          </w:r>
          <w:r>
            <w:fldChar w:fldCharType="end"/>
          </w:r>
          <w:r>
            <w:fldChar w:fldCharType="end"/>
          </w:r>
        </w:p>
        <w:p>
          <w:pPr>
            <w:pStyle w:val="TOC1"/>
            <w:tabs>
              <w:tab w:val="right" w:leader="dot" w:pos="9743"/>
            </w:tabs>
          </w:pPr>
          <w:r>
            <w:fldChar w:fldCharType="begin"/>
          </w:r>
          <w:r>
            <w:instrText xml:space="preserve"> HYPERLINK \l _Toc26602 </w:instrText>
          </w:r>
          <w:r>
            <w:fldChar w:fldCharType="separate"/>
          </w:r>
          <w:r>
            <w:rPr>
              <w:rFonts w:hint="default"/>
            </w:rPr>
            <w:t xml:space="preserve">2. </w:t>
          </w:r>
          <w:r>
            <w:rPr>
              <w:rFonts w:hint="eastAsia"/>
            </w:rPr>
            <w:t>连续性体系建设与维护情况</w:t>
          </w:r>
          <w:r>
            <w:tab/>
          </w:r>
          <w:r>
            <w:fldChar w:fldCharType="begin"/>
          </w:r>
          <w:r>
            <w:instrText xml:space="preserve"> PAGEREF _Toc26602 \h </w:instrText>
          </w:r>
          <w:r>
            <w:fldChar w:fldCharType="separate"/>
          </w:r>
          <w:r>
            <w:t>4</w:t>
          </w:r>
          <w:r>
            <w:fldChar w:fldCharType="end"/>
          </w:r>
          <w:r>
            <w:fldChar w:fldCharType="end"/>
          </w:r>
        </w:p>
        <w:p>
          <w:pPr>
            <w:pStyle w:val="TOC2"/>
            <w:tabs>
              <w:tab w:val="right" w:leader="dot" w:pos="9743"/>
            </w:tabs>
          </w:pPr>
          <w:r>
            <w:fldChar w:fldCharType="begin"/>
          </w:r>
          <w:r>
            <w:instrText xml:space="preserve"> HYPERLINK \l _Toc17208 </w:instrText>
          </w:r>
          <w:r>
            <w:fldChar w:fldCharType="separate"/>
          </w:r>
          <w:r>
            <w:rPr>
              <w:rFonts w:hint="default"/>
            </w:rPr>
            <w:t xml:space="preserve">2.1. </w:t>
          </w:r>
          <w:r>
            <w:rPr>
              <w:rFonts w:hint="eastAsia"/>
            </w:rPr>
            <w:t>组织与人员保障</w:t>
          </w:r>
          <w:r>
            <w:tab/>
          </w:r>
          <w:r>
            <w:fldChar w:fldCharType="begin"/>
          </w:r>
          <w:r>
            <w:instrText xml:space="preserve"> PAGEREF _Toc17208 \h </w:instrText>
          </w:r>
          <w:r>
            <w:fldChar w:fldCharType="separate"/>
          </w:r>
          <w:r>
            <w:t>4</w:t>
          </w:r>
          <w:r>
            <w:fldChar w:fldCharType="end"/>
          </w:r>
          <w:r>
            <w:fldChar w:fldCharType="end"/>
          </w:r>
        </w:p>
        <w:p>
          <w:pPr>
            <w:pStyle w:val="TOC2"/>
            <w:tabs>
              <w:tab w:val="right" w:leader="dot" w:pos="9743"/>
            </w:tabs>
          </w:pPr>
          <w:r>
            <w:fldChar w:fldCharType="begin"/>
          </w:r>
          <w:r>
            <w:instrText xml:space="preserve"> HYPERLINK \l _Toc4671 </w:instrText>
          </w:r>
          <w:r>
            <w:fldChar w:fldCharType="separate"/>
          </w:r>
          <w:r>
            <w:rPr>
              <w:rFonts w:hint="default"/>
            </w:rPr>
            <w:t xml:space="preserve">2.2. </w:t>
          </w:r>
          <w:r>
            <w:rPr>
              <w:rFonts w:hint="eastAsia"/>
            </w:rPr>
            <w:t>备份与恢复能力</w:t>
          </w:r>
          <w:r>
            <w:tab/>
          </w:r>
          <w:r>
            <w:fldChar w:fldCharType="begin"/>
          </w:r>
          <w:r>
            <w:instrText xml:space="preserve"> PAGEREF _Toc4671 \h </w:instrText>
          </w:r>
          <w:r>
            <w:fldChar w:fldCharType="separate"/>
          </w:r>
          <w:r>
            <w:t>4</w:t>
          </w:r>
          <w:r>
            <w:fldChar w:fldCharType="end"/>
          </w:r>
          <w:r>
            <w:fldChar w:fldCharType="end"/>
          </w:r>
        </w:p>
        <w:p>
          <w:pPr>
            <w:pStyle w:val="TOC2"/>
            <w:tabs>
              <w:tab w:val="right" w:leader="dot" w:pos="9743"/>
            </w:tabs>
          </w:pPr>
          <w:r>
            <w:fldChar w:fldCharType="begin"/>
          </w:r>
          <w:r>
            <w:instrText xml:space="preserve"> HYPERLINK \l _Toc13697 </w:instrText>
          </w:r>
          <w:r>
            <w:fldChar w:fldCharType="separate"/>
          </w:r>
          <w:r>
            <w:rPr>
              <w:rFonts w:hint="default"/>
            </w:rPr>
            <w:t xml:space="preserve">2.3. </w:t>
          </w:r>
          <w:r>
            <w:rPr>
              <w:rFonts w:hint="eastAsia"/>
            </w:rPr>
            <w:t>备用资源管理</w:t>
          </w:r>
          <w:r>
            <w:tab/>
          </w:r>
          <w:r>
            <w:fldChar w:fldCharType="begin"/>
          </w:r>
          <w:r>
            <w:instrText xml:space="preserve"> PAGEREF _Toc13697 \h </w:instrText>
          </w:r>
          <w:r>
            <w:fldChar w:fldCharType="separate"/>
          </w:r>
          <w:r>
            <w:t>4</w:t>
          </w:r>
          <w:r>
            <w:fldChar w:fldCharType="end"/>
          </w:r>
          <w:r>
            <w:fldChar w:fldCharType="end"/>
          </w:r>
        </w:p>
        <w:p>
          <w:pPr>
            <w:pStyle w:val="TOC1"/>
            <w:tabs>
              <w:tab w:val="right" w:leader="dot" w:pos="9743"/>
            </w:tabs>
          </w:pPr>
          <w:r>
            <w:fldChar w:fldCharType="begin"/>
          </w:r>
          <w:r>
            <w:instrText xml:space="preserve"> HYPERLINK \l _Toc16679 </w:instrText>
          </w:r>
          <w:r>
            <w:fldChar w:fldCharType="separate"/>
          </w:r>
          <w:r>
            <w:rPr>
              <w:rFonts w:hint="default"/>
            </w:rPr>
            <w:t xml:space="preserve">3. </w:t>
          </w:r>
          <w:r>
            <w:rPr>
              <w:rFonts w:hint="eastAsia"/>
            </w:rPr>
            <w:t>演练测试与应急能力验证</w:t>
          </w:r>
          <w:r>
            <w:tab/>
          </w:r>
          <w:r>
            <w:fldChar w:fldCharType="begin"/>
          </w:r>
          <w:r>
            <w:instrText xml:space="preserve"> PAGEREF _Toc16679 \h </w:instrText>
          </w:r>
          <w:r>
            <w:fldChar w:fldCharType="separate"/>
          </w:r>
          <w:r>
            <w:t>5</w:t>
          </w:r>
          <w:r>
            <w:fldChar w:fldCharType="end"/>
          </w:r>
          <w:r>
            <w:fldChar w:fldCharType="end"/>
          </w:r>
        </w:p>
        <w:p>
          <w:pPr>
            <w:pStyle w:val="TOC1"/>
            <w:tabs>
              <w:tab w:val="right" w:leader="dot" w:pos="9743"/>
            </w:tabs>
          </w:pPr>
          <w:r>
            <w:fldChar w:fldCharType="begin"/>
          </w:r>
          <w:r>
            <w:instrText xml:space="preserve"> HYPERLINK \l _Toc2722 </w:instrText>
          </w:r>
          <w:r>
            <w:fldChar w:fldCharType="separate"/>
          </w:r>
          <w:r>
            <w:rPr>
              <w:rFonts w:hint="default"/>
            </w:rPr>
            <w:t xml:space="preserve">4. </w:t>
          </w:r>
          <w:r>
            <w:rPr>
              <w:rFonts w:hint="eastAsia"/>
            </w:rPr>
            <w:t>与可用性管理的衔接与协同</w:t>
          </w:r>
          <w:r>
            <w:tab/>
          </w:r>
          <w:r>
            <w:fldChar w:fldCharType="begin"/>
          </w:r>
          <w:r>
            <w:instrText xml:space="preserve"> PAGEREF _Toc2722 \h </w:instrText>
          </w:r>
          <w:r>
            <w:fldChar w:fldCharType="separate"/>
          </w:r>
          <w:r>
            <w:t>5</w:t>
          </w:r>
          <w:r>
            <w:fldChar w:fldCharType="end"/>
          </w:r>
          <w:r>
            <w:fldChar w:fldCharType="end"/>
          </w:r>
        </w:p>
        <w:p>
          <w:pPr>
            <w:pStyle w:val="TOC1"/>
            <w:tabs>
              <w:tab w:val="right" w:leader="dot" w:pos="9743"/>
            </w:tabs>
          </w:pPr>
          <w:r>
            <w:fldChar w:fldCharType="begin"/>
          </w:r>
          <w:r>
            <w:instrText xml:space="preserve"> HYPERLINK \l _Toc17113 </w:instrText>
          </w:r>
          <w:r>
            <w:fldChar w:fldCharType="separate"/>
          </w:r>
          <w:r>
            <w:rPr>
              <w:rFonts w:hint="default"/>
            </w:rPr>
            <w:t xml:space="preserve">5. </w:t>
          </w:r>
          <w:r>
            <w:rPr>
              <w:rFonts w:hint="eastAsia"/>
            </w:rPr>
            <w:t>持续改进计划</w:t>
          </w:r>
          <w:r>
            <w:tab/>
          </w:r>
          <w:r>
            <w:fldChar w:fldCharType="begin"/>
          </w:r>
          <w:r>
            <w:instrText xml:space="preserve"> PAGEREF _Toc17113 \h </w:instrText>
          </w:r>
          <w:r>
            <w:fldChar w:fldCharType="separate"/>
          </w:r>
          <w:r>
            <w:t>5</w:t>
          </w:r>
          <w:r>
            <w:fldChar w:fldCharType="end"/>
          </w:r>
          <w:r>
            <w:fldChar w:fldCharType="end"/>
          </w:r>
        </w:p>
        <w:p>
          <w:pPr>
            <w:pStyle w:val="TOC1"/>
            <w:tabs>
              <w:tab w:val="right" w:leader="dot" w:pos="9743"/>
            </w:tabs>
          </w:pPr>
          <w:r>
            <w:fldChar w:fldCharType="begin"/>
          </w:r>
          <w:r>
            <w:instrText xml:space="preserve"> HYPERLINK \l _Toc3695 </w:instrText>
          </w:r>
          <w:r>
            <w:fldChar w:fldCharType="separate"/>
          </w:r>
          <w:r>
            <w:rPr>
              <w:rFonts w:hint="default"/>
            </w:rPr>
            <w:t xml:space="preserve">6. </w:t>
          </w:r>
          <w:r>
            <w:rPr>
              <w:rFonts w:hint="eastAsia"/>
            </w:rPr>
            <w:t>结论</w:t>
          </w:r>
          <w:r>
            <w:tab/>
          </w:r>
          <w:r>
            <w:fldChar w:fldCharType="begin"/>
          </w:r>
          <w:r>
            <w:instrText xml:space="preserve"> PAGEREF _Toc3695 \h </w:instrText>
          </w:r>
          <w:r>
            <w:fldChar w:fldCharType="separate"/>
          </w:r>
          <w:r>
            <w:t>6</w:t>
          </w:r>
          <w:r>
            <w:fldChar w:fldCharType="end"/>
          </w:r>
          <w:r>
            <w:fldChar w:fldCharType="end"/>
          </w:r>
        </w:p>
        <w:p>
          <w:r>
            <w:fldChar w:fldCharType="end"/>
          </w:r>
        </w:p>
      </w:sdtContent>
    </w:sdt>
    <w:p>
      <w:r>
        <w:rPr>
          <w:rFonts w:ascii="Arial" w:eastAsia="宋体" w:hAnsi="Arial" w:cs="Arial"/>
          <w:snapToGrid w:val="0"/>
          <w:color w:val="000000"/>
          <w:kern w:val="0"/>
          <w:sz w:val="21"/>
          <w:szCs w:val="21"/>
          <w:lang w:val="en-US" w:eastAsia="en-US" w:bidi="ar-SA"/>
        </w:rPr>
        <w:br w:type="page"/>
      </w:r>
    </w:p>
    <w:p>
      <w:pPr>
        <w:pStyle w:val="1"/>
        <w:bidi w:val="0"/>
        <w:rPr>
          <w:rFonts w:hint="eastAsia"/>
        </w:rPr>
      </w:pPr>
      <w:bookmarkStart w:id="3" w:name="_Toc10329"/>
      <w:r>
        <w:rPr>
          <w:rFonts w:hint="eastAsia"/>
        </w:rPr>
        <w:t>执行摘要</w:t>
      </w:r>
      <w:bookmarkEnd w:id="3"/>
    </w:p>
    <w:p>
      <w:pPr>
        <w:pStyle w:val="a1"/>
        <w:bidi w:val="0"/>
        <w:rPr>
          <w:rFonts w:hint="eastAsia"/>
        </w:rPr>
      </w:pPr>
      <w:r>
        <w:rPr>
          <w:rFonts w:hint="eastAsia"/>
        </w:rPr>
        <w:t>本报告旨在总结2025年度“智慧银医”项目业务连续性管理体系的建设、测试与维护情况。本年度，项目组严格遵循《连续性计划》，通过完善的组织保障、定期的演练验证以及持续的体系优化，建立起一套覆盖预防、响应、恢复全流程的业务连续性保障机制。全年未发生需启动灾难恢复计划的重大事故，但在两次模拟演练中，团队成功验证了应急流程的有效性，核心业务恢复时间目标（RTO）与恢复点目标（RPO）均达到或优于设计指标，系统韧性得到显著增强。</w:t>
      </w:r>
    </w:p>
    <w:p>
      <w:pPr>
        <w:pStyle w:val="1"/>
        <w:bidi w:val="0"/>
        <w:rPr>
          <w:rFonts w:hint="eastAsia"/>
        </w:rPr>
      </w:pPr>
      <w:bookmarkStart w:id="4" w:name="_Toc26602"/>
      <w:r>
        <w:rPr>
          <w:rFonts w:hint="eastAsia"/>
        </w:rPr>
        <w:t>连续性体系建设与维护情况</w:t>
      </w:r>
      <w:bookmarkEnd w:id="4"/>
      <w:bookmarkStart w:id="5" w:name="_GoBack"/>
      <w:bookmarkEnd w:id="5"/>
    </w:p>
    <w:p>
      <w:pPr>
        <w:pStyle w:val="2"/>
        <w:bidi w:val="0"/>
        <w:rPr>
          <w:rFonts w:hint="eastAsia"/>
        </w:rPr>
      </w:pPr>
      <w:bookmarkStart w:id="6" w:name="_Toc17208"/>
      <w:r>
        <w:rPr>
          <w:rFonts w:hint="eastAsia"/>
        </w:rPr>
        <w:t>组织与人员保障</w:t>
      </w:r>
      <w:bookmarkEnd w:id="6"/>
    </w:p>
    <w:p>
      <w:pPr>
        <w:pStyle w:val="a1"/>
        <w:numPr>
          <w:ilvl w:val="0"/>
          <w:numId w:val="2"/>
        </w:numPr>
        <w:bidi w:val="0"/>
        <w:ind w:left="425" w:hanging="425" w:leftChars="0" w:firstLineChars="0"/>
        <w:rPr>
          <w:rFonts w:hint="eastAsia"/>
        </w:rPr>
      </w:pPr>
      <w:r>
        <w:rPr>
          <w:rFonts w:hint="eastAsia"/>
        </w:rPr>
        <w:t>应急团队结构稳固：严格按计划落实了各关键系统的第一、第二责任人制度，全年人员无空缺，责任清晰。</w:t>
      </w:r>
    </w:p>
    <w:p>
      <w:pPr>
        <w:pStyle w:val="a1"/>
        <w:numPr>
          <w:ilvl w:val="0"/>
          <w:numId w:val="2"/>
        </w:numPr>
        <w:bidi w:val="0"/>
        <w:ind w:left="425" w:hanging="425" w:leftChars="0" w:firstLineChars="0"/>
        <w:rPr>
          <w:rFonts w:hint="eastAsia"/>
        </w:rPr>
      </w:pPr>
      <w:r>
        <w:rPr>
          <w:rFonts w:hint="eastAsia"/>
        </w:rPr>
        <w:t>培训全覆盖：全年组织连续性计划专项培训2次，覆盖项目组全体成员及新入职员工，培训考核通过率100%。</w:t>
      </w:r>
    </w:p>
    <w:p>
      <w:pPr>
        <w:pStyle w:val="2"/>
        <w:bidi w:val="0"/>
        <w:rPr>
          <w:rFonts w:hint="eastAsia"/>
        </w:rPr>
      </w:pPr>
      <w:bookmarkStart w:id="7" w:name="_Toc4671"/>
      <w:r>
        <w:rPr>
          <w:rFonts w:hint="eastAsia"/>
        </w:rPr>
        <w:t>备份与恢复能力</w:t>
      </w:r>
      <w:bookmarkEnd w:id="7"/>
    </w:p>
    <w:p>
      <w:pPr>
        <w:pStyle w:val="a3"/>
        <w:numPr>
          <w:ilvl w:val="0"/>
          <w:numId w:val="0"/>
        </w:numPr>
        <w:bidi w:val="0"/>
        <w:ind w:firstLine="420" w:leftChars="0" w:firstLineChars="200"/>
        <w:rPr>
          <w:rFonts w:hint="eastAsia"/>
        </w:rPr>
      </w:pPr>
      <w:r>
        <w:rPr>
          <w:rFonts w:hint="eastAsia"/>
        </w:rPr>
        <w:t>备份策略有效执行：核心业务数据（交易、结算、配置）的每日全备与实时增量备份机制全年稳定运行，备份成功率达100%。</w:t>
      </w:r>
    </w:p>
    <w:p>
      <w:pPr>
        <w:pStyle w:val="a3"/>
        <w:numPr>
          <w:ilvl w:val="0"/>
          <w:numId w:val="0"/>
        </w:numPr>
        <w:bidi w:val="0"/>
        <w:ind w:firstLine="420" w:leftChars="0" w:firstLineChars="200"/>
        <w:rPr>
          <w:rFonts w:hint="eastAsia"/>
        </w:rPr>
      </w:pPr>
      <w:r>
        <w:rPr>
          <w:rFonts w:hint="eastAsia"/>
        </w:rPr>
        <w:t>恢复验证常态化：按计划完成4次季度备份恢复测试，所有测试均成功，平均数据恢复时间（RTO）为3.5小时，优于计划目标（4小时内），验证了备份数据的完整性与可用性。</w:t>
      </w:r>
    </w:p>
    <w:p>
      <w:pPr>
        <w:pStyle w:val="a3"/>
        <w:numPr>
          <w:ilvl w:val="0"/>
          <w:numId w:val="0"/>
        </w:numPr>
        <w:bidi w:val="0"/>
        <w:ind w:leftChars="0"/>
        <w:rPr>
          <w:rFonts w:hint="eastAsia"/>
        </w:rPr>
      </w:pPr>
      <w:r>
        <w:rPr>
          <w:rFonts w:hint="eastAsia"/>
        </w:rPr>
        <w:t>异地备份落实：备份数据已实现加密异地存储，符合数据安全与灾难恢复要求。</w:t>
      </w:r>
    </w:p>
    <w:p>
      <w:pPr>
        <w:pStyle w:val="2"/>
        <w:bidi w:val="0"/>
        <w:rPr>
          <w:rFonts w:hint="eastAsia"/>
        </w:rPr>
      </w:pPr>
      <w:bookmarkStart w:id="8" w:name="_Toc13697"/>
      <w:r>
        <w:rPr>
          <w:rFonts w:hint="eastAsia"/>
        </w:rPr>
        <w:t>备用资源管理</w:t>
      </w:r>
      <w:bookmarkEnd w:id="8"/>
    </w:p>
    <w:p>
      <w:pPr>
        <w:pStyle w:val="a3"/>
        <w:numPr>
          <w:ilvl w:val="0"/>
          <w:numId w:val="0"/>
        </w:numPr>
        <w:bidi w:val="0"/>
        <w:ind w:firstLine="420" w:leftChars="0" w:firstLineChars="200"/>
        <w:rPr>
          <w:rFonts w:hint="eastAsia"/>
        </w:rPr>
      </w:pPr>
      <w:r>
        <w:rPr>
          <w:rFonts w:hint="eastAsia"/>
        </w:rPr>
        <w:t>备品备件库：关键硬件（服务器部件、网络设备、自助终端核心模块）的备件储备充足，台账清晰，领用流程规范。</w:t>
      </w:r>
    </w:p>
    <w:p>
      <w:pPr>
        <w:pStyle w:val="a3"/>
        <w:numPr>
          <w:ilvl w:val="0"/>
          <w:numId w:val="0"/>
        </w:numPr>
        <w:bidi w:val="0"/>
        <w:ind w:firstLine="420" w:leftChars="0" w:firstLineChars="200"/>
        <w:rPr>
          <w:rFonts w:hint="eastAsia"/>
        </w:rPr>
      </w:pPr>
      <w:r>
        <w:rPr>
          <w:rFonts w:hint="eastAsia"/>
        </w:rPr>
        <w:t>技术文档完备： 系统架构图、网络拓扑、配置手册、恢复操作指南等关键文档已完成归档并定期更新，确保应急状态下信息可获得。</w:t>
      </w:r>
    </w:p>
    <w:p>
      <w:pPr>
        <w:pStyle w:val="1"/>
        <w:bidi w:val="0"/>
        <w:rPr>
          <w:rFonts w:hint="eastAsia"/>
        </w:rPr>
      </w:pPr>
      <w:bookmarkStart w:id="9" w:name="_Toc16679"/>
      <w:r>
        <w:rPr>
          <w:rFonts w:hint="eastAsia"/>
        </w:rPr>
        <w:t>演练测试与应急能力验证</w:t>
      </w:r>
      <w:bookmarkEnd w:id="9"/>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CellMar>
          <w:top w:w="15" w:type="dxa"/>
          <w:left w:w="15" w:type="dxa"/>
          <w:bottom w:w="15" w:type="dxa"/>
          <w:right w:w="15" w:type="dxa"/>
        </w:tblCellMar>
      </w:tblPr>
      <w:tblGrid>
        <w:gridCol w:w="975"/>
        <w:gridCol w:w="1022"/>
        <w:gridCol w:w="727"/>
        <w:gridCol w:w="2008"/>
        <w:gridCol w:w="3235"/>
        <w:gridCol w:w="1968"/>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CellMar>
            <w:top w:w="15" w:type="dxa"/>
            <w:left w:w="15" w:type="dxa"/>
            <w:bottom w:w="15" w:type="dxa"/>
            <w:right w:w="15" w:type="dxa"/>
          </w:tblCellMar>
        </w:tblPrEx>
        <w:trPr>
          <w:tblHeader/>
        </w:trPr>
        <w:tc>
          <w:tcPr>
            <w:tcW w:w="0" w:type="auto"/>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演练主题</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时间</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形式</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模拟场景</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核心指标达成情况</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主要发现与改进</w:t>
            </w:r>
          </w:p>
        </w:tc>
      </w:tr>
      <w:tr>
        <w:tblPrEx>
          <w:tblW w:w="0" w:type="auto"/>
          <w:tblInd w:w="0" w:type="dxa"/>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支付系统集群节点故障切换</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2025年6月10日</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模拟故障</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主支付网关服务器宕机，业务自动/手动切换至备用节点。</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RTO（业务恢复时间）：</w:t>
            </w:r>
            <w:r>
              <w:rPr>
                <w:rStyle w:val="Strong"/>
                <w:rFonts w:ascii="Segoe UI" w:eastAsia="Segoe UI" w:hAnsi="Segoe UI" w:cs="Segoe UI" w:hint="default"/>
                <w:b/>
                <w:bCs/>
                <w:i w:val="0"/>
                <w:iCs w:val="0"/>
                <w:caps w:val="0"/>
                <w:snapToGrid w:val="0"/>
                <w:color w:val="000000"/>
                <w:spacing w:val="0"/>
                <w:kern w:val="0"/>
                <w:sz w:val="18"/>
                <w:szCs w:val="18"/>
                <w:lang w:val="en-US" w:eastAsia="zh-CN"/>
              </w:rPr>
              <w:t>18分钟</w:t>
            </w:r>
            <w:r>
              <w:rPr>
                <w:rFonts w:ascii="Segoe UI" w:eastAsia="Segoe UI" w:hAnsi="Segoe UI" w:cs="Segoe UI" w:hint="default"/>
                <w:i w:val="0"/>
                <w:iCs w:val="0"/>
                <w:caps w:val="0"/>
                <w:snapToGrid w:val="0"/>
                <w:color w:val="000000"/>
                <w:spacing w:val="0"/>
                <w:kern w:val="0"/>
                <w:sz w:val="18"/>
                <w:szCs w:val="18"/>
                <w:lang w:val="en-US" w:eastAsia="zh-CN"/>
              </w:rPr>
              <w:t>，优于目标（60分钟）。业务切换期间，交易成功率保持在99.5%以上。</w:t>
            </w:r>
          </w:p>
        </w:tc>
        <w:tc>
          <w:tcPr>
            <w:tcW w:w="0" w:type="auto"/>
            <w:shd w:val="clear" w:color="auto" w:fill="auto"/>
            <w:tcMar>
              <w:top w:w="120" w:type="dxa"/>
              <w:left w:w="192" w:type="dxa"/>
              <w:bottom w:w="120" w:type="dxa"/>
              <w:right w:w="0"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完善了切换后对账脚本的自动执行逻辑，减少了人工核对时间。</w:t>
            </w:r>
          </w:p>
        </w:tc>
      </w:tr>
    </w:tbl>
    <w:p>
      <w:pPr>
        <w:pStyle w:val="a3"/>
        <w:numPr>
          <w:ilvl w:val="0"/>
          <w:numId w:val="0"/>
        </w:numPr>
        <w:bidi w:val="0"/>
        <w:ind w:leftChars="0"/>
        <w:rPr>
          <w:rFonts w:hint="eastAsia"/>
        </w:rPr>
      </w:pPr>
      <w:r>
        <w:rPr>
          <w:rFonts w:hint="eastAsia"/>
        </w:rPr>
        <w:t>演练结论：</w:t>
      </w:r>
      <w:r>
        <w:rPr>
          <w:rFonts w:hint="eastAsia"/>
          <w:lang w:val="en-US" w:eastAsia="zh-CN"/>
        </w:rPr>
        <w:t>演练</w:t>
      </w:r>
      <w:r>
        <w:rPr>
          <w:rFonts w:hint="eastAsia"/>
        </w:rPr>
        <w:t>证明，当前连续性计划流程清晰、分工明确、技术方案可行。团队具备在计划时间目标内恢复核心业务的能力。</w:t>
      </w:r>
    </w:p>
    <w:p>
      <w:pPr>
        <w:pStyle w:val="1"/>
        <w:bidi w:val="0"/>
        <w:rPr>
          <w:rFonts w:hint="eastAsia"/>
        </w:rPr>
      </w:pPr>
      <w:bookmarkStart w:id="10" w:name="_Toc2722"/>
      <w:r>
        <w:rPr>
          <w:rFonts w:hint="eastAsia"/>
        </w:rPr>
        <w:t>与可用性管理的衔接与协同</w:t>
      </w:r>
      <w:bookmarkEnd w:id="10"/>
    </w:p>
    <w:p>
      <w:pPr>
        <w:pStyle w:val="a1"/>
        <w:bidi w:val="0"/>
        <w:rPr>
          <w:rFonts w:hint="eastAsia"/>
        </w:rPr>
      </w:pPr>
      <w:r>
        <w:rPr>
          <w:rFonts w:hint="eastAsia"/>
          <w:lang w:val="en-US" w:eastAsia="zh-CN"/>
        </w:rPr>
        <w:t>截止2025年10月</w:t>
      </w:r>
      <w:r>
        <w:rPr>
          <w:rFonts w:hint="eastAsia"/>
        </w:rPr>
        <w:t>连续性管理与可用性管理形成了有效协同：</w:t>
      </w:r>
    </w:p>
    <w:p>
      <w:pPr>
        <w:pStyle w:val="a1"/>
        <w:bidi w:val="0"/>
        <w:rPr>
          <w:rFonts w:hint="eastAsia"/>
        </w:rPr>
      </w:pPr>
      <w:r>
        <w:rPr>
          <w:rFonts w:hint="eastAsia"/>
        </w:rPr>
        <w:t>监控告警作为触发入口： 7×24小时监控系统不仅是可用性保障的基础，也为快速识别可能升级为连续性事件的重大故障提供了预警。</w:t>
      </w:r>
    </w:p>
    <w:p>
      <w:pPr>
        <w:pStyle w:val="a1"/>
        <w:bidi w:val="0"/>
        <w:rPr>
          <w:rFonts w:hint="eastAsia"/>
        </w:rPr>
      </w:pPr>
      <w:r>
        <w:rPr>
          <w:rFonts w:hint="eastAsia"/>
        </w:rPr>
        <w:t>日常维护奠定恢复基础： 定期的系统健康检查、性能优化与安全加固，提升了系统整体稳定性，降低了发生灾难性故障的概率。</w:t>
      </w:r>
    </w:p>
    <w:p>
      <w:pPr>
        <w:pStyle w:val="a1"/>
        <w:bidi w:val="0"/>
        <w:rPr>
          <w:rFonts w:hint="eastAsia"/>
        </w:rPr>
      </w:pPr>
      <w:r>
        <w:rPr>
          <w:rFonts w:hint="eastAsia"/>
        </w:rPr>
        <w:t>事件分级清晰： 明确了常规故障（可用性范畴）与重大灾难事件（连续性范畴）的界定标准与升级流程，避免了应急资源误用或响应不足。</w:t>
      </w:r>
    </w:p>
    <w:p>
      <w:pPr>
        <w:pStyle w:val="1"/>
        <w:bidi w:val="0"/>
        <w:rPr>
          <w:rFonts w:hint="eastAsia"/>
        </w:rPr>
      </w:pPr>
      <w:bookmarkStart w:id="11" w:name="_Toc17113"/>
      <w:r>
        <w:rPr>
          <w:rFonts w:hint="eastAsia"/>
        </w:rPr>
        <w:t>持续改进计划</w:t>
      </w:r>
      <w:bookmarkEnd w:id="11"/>
    </w:p>
    <w:p>
      <w:pPr>
        <w:pStyle w:val="a3"/>
        <w:numPr>
          <w:ilvl w:val="0"/>
          <w:numId w:val="0"/>
        </w:numPr>
        <w:bidi w:val="0"/>
        <w:ind w:firstLine="420" w:leftChars="0" w:firstLineChars="200"/>
        <w:rPr>
          <w:rFonts w:hint="eastAsia"/>
        </w:rPr>
      </w:pPr>
      <w:r>
        <w:rPr>
          <w:rFonts w:hint="eastAsia"/>
        </w:rPr>
        <w:t>尽管连续性体系运行良好，为进一步提升应对极端情况的能力，计划在2026年重点推进以下工作：</w:t>
      </w:r>
    </w:p>
    <w:p>
      <w:pPr>
        <w:pStyle w:val="a3"/>
        <w:numPr>
          <w:ilvl w:val="0"/>
          <w:numId w:val="0"/>
        </w:numPr>
        <w:bidi w:val="0"/>
        <w:ind w:firstLine="420" w:leftChars="0" w:firstLineChars="200"/>
        <w:rPr>
          <w:rFonts w:hint="eastAsia"/>
        </w:rPr>
      </w:pPr>
      <w:r>
        <w:rPr>
          <w:rFonts w:hint="eastAsia"/>
        </w:rPr>
        <w:t>开展全业务灾备演练：计划在2026年下半年，策划并执行一次包含“生产环境模拟中断、备用数据恢复、业务系统整体接管”的全链条、贴近实战的灾难恢复演练。</w:t>
      </w:r>
    </w:p>
    <w:p>
      <w:pPr>
        <w:pStyle w:val="a3"/>
        <w:numPr>
          <w:ilvl w:val="0"/>
          <w:numId w:val="0"/>
        </w:numPr>
        <w:bidi w:val="0"/>
        <w:ind w:firstLine="420" w:leftChars="0" w:firstLineChars="200"/>
        <w:rPr>
          <w:rFonts w:hint="eastAsia"/>
        </w:rPr>
      </w:pPr>
      <w:r>
        <w:rPr>
          <w:rFonts w:hint="eastAsia"/>
        </w:rPr>
        <w:t>评估关键业务双活架构： 对诊间支付等最高优先级业务，进行同城双活或云容灾架构的技术可行性研究与方案设计，以追求更短的RTO和近似为零的RPO。</w:t>
      </w:r>
    </w:p>
    <w:p>
      <w:pPr>
        <w:pStyle w:val="a3"/>
        <w:numPr>
          <w:ilvl w:val="0"/>
          <w:numId w:val="0"/>
        </w:numPr>
        <w:bidi w:val="0"/>
        <w:ind w:firstLine="420" w:leftChars="0" w:firstLineChars="200"/>
        <w:rPr>
          <w:rFonts w:hint="eastAsia"/>
        </w:rPr>
      </w:pPr>
      <w:r>
        <w:rPr>
          <w:rFonts w:hint="eastAsia"/>
        </w:rPr>
        <w:t>深化外部协作机制：与医院信息科、电力保障、网络运营商等外部协作单位建立更常态化的应急沟通与联合演练机制，提升整体协同效率。</w:t>
      </w:r>
    </w:p>
    <w:p>
      <w:pPr>
        <w:pStyle w:val="1"/>
        <w:bidi w:val="0"/>
        <w:rPr>
          <w:rFonts w:hint="eastAsia"/>
        </w:rPr>
      </w:pPr>
      <w:bookmarkStart w:id="12" w:name="_Toc3695"/>
      <w:r>
        <w:rPr>
          <w:rFonts w:hint="eastAsia"/>
        </w:rPr>
        <w:t>结论</w:t>
      </w:r>
      <w:bookmarkEnd w:id="12"/>
    </w:p>
    <w:p>
      <w:pPr>
        <w:pStyle w:val="a1"/>
        <w:bidi w:val="0"/>
      </w:pPr>
      <w:r>
        <w:rPr>
          <w:rFonts w:hint="eastAsia"/>
          <w:lang w:val="en-US" w:eastAsia="zh-CN"/>
        </w:rPr>
        <w:t>截止</w:t>
      </w:r>
      <w:r>
        <w:rPr>
          <w:rFonts w:hint="eastAsia"/>
        </w:rPr>
        <w:t>2025年</w:t>
      </w:r>
      <w:r>
        <w:rPr>
          <w:rFonts w:hint="eastAsia"/>
          <w:lang w:val="en-US" w:eastAsia="zh-CN"/>
        </w:rPr>
        <w:t>10月</w:t>
      </w:r>
      <w:r>
        <w:rPr>
          <w:rFonts w:hint="eastAsia"/>
        </w:rPr>
        <w:t>，临夏回族自治州中医医院“智慧银医”项目的业务连续性管理体系建设完整、运行有效。通过扎实的日常维护、可靠的备份策略、定期的演练验证以及明确的组织职责，项目组成功构建了应对重大中断事件的恢复能力，为医院核心诊疗服务的持续运行提供了坚实保障。中达丰集团有限公司将持续优化连续性管理体系，致力于为院方构建更加强韧、可靠的信息化服务支撑。</w:t>
      </w:r>
    </w:p>
    <w:sectPr>
      <w:pgSz w:w="11906" w:h="16838"/>
      <w:pgMar w:top="1431" w:right="1076" w:bottom="1547" w:left="1087" w:header="0" w:footer="0" w:gutter="0"/>
      <w:cols w:num="1"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F34E72C7"/>
    <w:multiLevelType w:val="singleLevel"/>
    <w:tmpl w:val="F34E72C7"/>
    <w:lvl w:ilvl="0">
      <w:start w:val="1"/>
      <w:numFmt w:val="decimal"/>
      <w:lvlText w:val="%1."/>
      <w:lvlJc w:val="left"/>
      <w:pPr>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isplayBackgroundShape/>
  <w:doNotTrackMoves/>
  <w:defaultTabStop w:val="720"/>
  <w:noPunctuationKerning/>
  <w:characterSpacingControl w:val="doNotCompress"/>
  <w:compat>
    <w:spaceForUL/>
    <w:ulTrailSpace/>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 w:type="table" w:customStyle="1" w:styleId="TableNormal1">
    <w:name w:val="Table Normal_1"/>
    <w:semiHidden/>
    <w:unhideWhenUsed/>
    <w:qFormat/>
    <w:tblPr>
      <w:tblCellMar>
        <w:top w:w="0" w:type="dxa"/>
        <w:left w:w="0" w:type="dxa"/>
        <w:bottom w:w="0" w:type="dxa"/>
        <w:right w:w="0" w:type="dxa"/>
      </w:tblCellMar>
    </w:tblPr>
  </w:style>
  <w:style w:type="table" w:customStyle="1" w:styleId="TableNormal2">
    <w:name w:val="Table Normal_2"/>
    <w:semiHidden/>
    <w:unhideWhenUsed/>
    <w:qFormat/>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1</TotalTime>
  <Pages>6</Pages>
  <Words>1810</Words>
  <Characters>1920</Characters>
  <Application>Microsoft Office Word</Application>
  <DocSecurity>0</DocSecurity>
  <Lines>0</Lines>
  <Paragraphs>0</Paragraphs>
  <ScaleCrop>false</ScaleCrop>
  <Company/>
  <LinksUpToDate>false</LinksUpToDate>
  <CharactersWithSpaces>2066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18442</dc:creator>
  <cp:lastModifiedBy>nancy杨茜</cp:lastModifiedBy>
  <cp:revision>0</cp:revision>
  <dcterms:created xsi:type="dcterms:W3CDTF">2025-08-21T09:28:00Z</dcterms:created>
  <dcterms:modified xsi:type="dcterms:W3CDTF">2026-01-07T12:26:55Z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2025-08-21T14:29:57Z</vt:filetime>
  </property>
  <property fmtid="{D5CDD505-2E9C-101B-9397-08002B2CF9AE}" pid="3" name="CRO">
    <vt:lpwstr>wqlLaW5nc29mdCBQREYgdG8gV1BTIDExNQ</vt:lpwstr>
  </property>
  <property fmtid="{D5CDD505-2E9C-101B-9397-08002B2CF9AE}" pid="4" name="ICV">
    <vt:lpwstr>03FC1D43EDCA4F5BBA17BEC7C57D6B1F_12</vt:lpwstr>
  </property>
  <property fmtid="{D5CDD505-2E9C-101B-9397-08002B2CF9AE}" pid="5" name="KSOProductBuildVer">
    <vt:lpwstr>2052-12.1.0.24034</vt:lpwstr>
  </property>
  <property fmtid="{D5CDD505-2E9C-101B-9397-08002B2CF9AE}" pid="6" name="KSOTemplateDocerSaveRecord">
    <vt:lpwstr>eyJoZGlkIjoiYzZkNzQ4ZWFiZmQ4NTRhOWRkZTk3YTMwMjlmMmZhYmUiLCJ1c2VySWQiOiI0Mzg5MjI4MjYifQ==</vt:lpwstr>
  </property>
</Properties>
</file>