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Arial"/>
          <w:sz w:val="21"/>
        </w:rPr>
      </w:pPr>
    </w:p>
    <w:p>
      <w:pPr>
        <w:spacing w:before="101" w:line="223" w:lineRule="auto"/>
        <w:ind w:left="3233"/>
        <w:outlineLvl w:val="0"/>
        <w:rPr>
          <w:rFonts w:ascii="宋体" w:eastAsia="宋体" w:hAnsi="宋体" w:cs="宋体" w:hint="default"/>
          <w:sz w:val="31"/>
          <w:szCs w:val="31"/>
          <w:lang w:val="en-US" w:eastAsia="zh-CN"/>
        </w:rPr>
      </w:pPr>
      <w:r>
        <w:rPr>
          <w:rFonts w:ascii="宋体" w:hAnsi="宋体" w:cs="宋体" w:hint="eastAsia"/>
          <w:b/>
          <w:bCs/>
          <w:spacing w:val="6"/>
          <w:sz w:val="31"/>
          <w:szCs w:val="31"/>
          <w:lang w:val="en-US" w:eastAsia="zh-CN"/>
        </w:rPr>
        <w:t>事件处理单</w:t>
      </w:r>
    </w:p>
    <w:tbl>
      <w:tblPr>
        <w:tblStyle w:val="TableNormal0"/>
        <w:tblW w:w="9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2110"/>
        <w:gridCol w:w="2102"/>
        <w:gridCol w:w="3472"/>
      </w:tblGrid>
      <w:tr>
        <w:tblPrEx>
          <w:tblW w:w="996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  <w:jc w:val="center"/>
        </w:trPr>
        <w:tc>
          <w:tcPr>
            <w:tcW w:w="2282" w:type="dxa"/>
          </w:tcPr>
          <w:p>
            <w:pPr>
              <w:pStyle w:val="TableText"/>
              <w:spacing w:before="189" w:line="219" w:lineRule="auto"/>
              <w:ind w:left="786"/>
            </w:pPr>
            <w:r>
              <w:rPr>
                <w:spacing w:val="-4"/>
              </w:rPr>
              <w:t>编制人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90" w:line="221" w:lineRule="auto"/>
              <w:ind w:left="829"/>
            </w:pPr>
            <w:r>
              <w:rPr>
                <w:spacing w:val="-11"/>
              </w:rPr>
              <w:t>时间</w:t>
            </w:r>
          </w:p>
        </w:tc>
        <w:tc>
          <w:tcPr>
            <w:tcW w:w="3472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39" w:lineRule="auto"/>
              <w:ind w:left="117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2025.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.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jc w:val="center"/>
        </w:trPr>
        <w:tc>
          <w:tcPr>
            <w:tcW w:w="2282" w:type="dxa"/>
          </w:tcPr>
          <w:p>
            <w:pPr>
              <w:pStyle w:val="TableText"/>
              <w:spacing w:before="171" w:line="219" w:lineRule="auto"/>
              <w:ind w:left="666"/>
            </w:pPr>
            <w:r>
              <w:rPr>
                <w:spacing w:val="-3"/>
              </w:rPr>
              <w:t>呈交部门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71" w:line="219" w:lineRule="auto"/>
              <w:ind w:left="69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70" w:line="224" w:lineRule="auto"/>
              <w:ind w:left="817"/>
            </w:pPr>
            <w:r>
              <w:rPr>
                <w:spacing w:val="-5"/>
              </w:rPr>
              <w:t>地点</w:t>
            </w:r>
          </w:p>
        </w:tc>
        <w:tc>
          <w:tcPr>
            <w:tcW w:w="3472" w:type="dxa"/>
            <w:vAlign w:val="center"/>
          </w:tcPr>
          <w:p>
            <w:pPr>
              <w:pStyle w:val="TableText"/>
              <w:spacing w:before="170" w:line="219" w:lineRule="auto"/>
              <w:ind w:left="122"/>
            </w:pPr>
            <w:r>
              <w:rPr>
                <w:spacing w:val="-4"/>
              </w:rPr>
              <w:t>公司会议室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/>
          <w:jc w:val="center"/>
        </w:trPr>
        <w:tc>
          <w:tcPr>
            <w:tcW w:w="2282" w:type="dxa"/>
          </w:tcPr>
          <w:p>
            <w:pPr>
              <w:pStyle w:val="TableText"/>
              <w:spacing w:before="188" w:line="220" w:lineRule="auto"/>
              <w:ind w:left="668"/>
            </w:pPr>
            <w:r>
              <w:rPr>
                <w:spacing w:val="-4"/>
              </w:rPr>
              <w:t>项目名称</w:t>
            </w:r>
          </w:p>
        </w:tc>
        <w:tc>
          <w:tcPr>
            <w:tcW w:w="7684" w:type="dxa"/>
            <w:gridSpan w:val="3"/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ascii="Arial"/>
                <w:sz w:val="21"/>
              </w:rPr>
            </w:pPr>
            <w:r>
              <w:rPr>
                <w:rFonts w:hint="default"/>
                <w:lang w:val="en-US" w:eastAsia="zh-CN"/>
              </w:rPr>
              <w:t>临夏州中医医院“智慧银医”项</w:t>
            </w:r>
            <w:r>
              <w:rPr>
                <w:rFonts w:hint="eastAsia"/>
                <w:lang w:val="en-US" w:eastAsia="zh-CN"/>
              </w:rPr>
              <w:t>目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事件标题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自助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机医保结算页面响应缓慢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2025年6月15日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事件来源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门诊部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影响范围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三楼自助结账区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事件描述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</w:pPr>
            <w:r>
              <w:rPr>
                <w:rFonts w:eastAsia="宋体" w:hint="default"/>
                <w:lang w:val="en-US" w:eastAsia="zh-CN"/>
              </w:rPr>
              <w:t>在使用自助机进行医保结算时，界面在“费用结算”环节出现明显卡顿，等待时间超过30秒，导致患者排队拥堵。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事件影响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自助机使用率下降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紧急程度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处理部门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是否升级为问题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2025年6月15日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查看自助机状态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重启自助机服务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验证响应时间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事件改进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加强自助机性能监控，避免类似情况发生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4"/>
      <w:footerReference w:type="default" r:id="rId5"/>
      <w:pgSz w:w="11906" w:h="16838"/>
      <w:pgMar w:top="1" w:right="1079" w:bottom="1210" w:left="1785" w:header="0" w:footer="99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245</Words>
  <Characters>262</Characters>
  <Application>Microsoft Office Word</Application>
  <DocSecurity>0</DocSecurity>
  <Lines>0</Lines>
  <Paragraphs>0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2025-08-21T06:31:00Z</dcterms:created>
  <dcterms:modified xsi:type="dcterms:W3CDTF">2026-01-04T01:11:49Z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