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0" w:lineRule="auto"/>
        <w:rPr>
          <w:rFonts w:ascii="Arial"/>
          <w:sz w:val="21"/>
        </w:rPr>
      </w:pPr>
    </w:p>
    <w:p>
      <w:pPr>
        <w:spacing w:before="101" w:line="223" w:lineRule="auto"/>
        <w:ind w:left="3233"/>
        <w:outlineLvl w:val="0"/>
        <w:rPr>
          <w:rFonts w:ascii="宋体" w:eastAsia="宋体" w:hAnsi="宋体" w:cs="宋体" w:hint="default"/>
          <w:sz w:val="31"/>
          <w:szCs w:val="31"/>
          <w:lang w:val="en-US" w:eastAsia="zh-CN"/>
        </w:rPr>
      </w:pPr>
      <w:r>
        <w:rPr>
          <w:rFonts w:ascii="宋体" w:hAnsi="宋体" w:cs="宋体" w:hint="eastAsia"/>
          <w:b/>
          <w:bCs/>
          <w:spacing w:val="6"/>
          <w:sz w:val="31"/>
          <w:szCs w:val="31"/>
          <w:lang w:val="en-US" w:eastAsia="zh-CN"/>
        </w:rPr>
        <w:t>问题处理单</w:t>
      </w:r>
    </w:p>
    <w:tbl>
      <w:tblPr>
        <w:tblStyle w:val="TableNormal0"/>
        <w:tblW w:w="99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2110"/>
        <w:gridCol w:w="2102"/>
        <w:gridCol w:w="3472"/>
      </w:tblGrid>
      <w:tr>
        <w:tblPrEx>
          <w:tblW w:w="996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  <w:jc w:val="center"/>
        </w:trPr>
        <w:tc>
          <w:tcPr>
            <w:tcW w:w="2282" w:type="dxa"/>
          </w:tcPr>
          <w:p>
            <w:pPr>
              <w:pStyle w:val="TableText"/>
              <w:spacing w:before="189" w:line="219" w:lineRule="auto"/>
              <w:ind w:left="786"/>
            </w:pPr>
            <w:r>
              <w:rPr>
                <w:spacing w:val="-4"/>
              </w:rPr>
              <w:t>编制人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19" w:lineRule="auto"/>
              <w:ind w:left="701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90" w:line="221" w:lineRule="auto"/>
              <w:ind w:left="829"/>
            </w:pPr>
            <w:r>
              <w:rPr>
                <w:spacing w:val="-11"/>
              </w:rPr>
              <w:t>时间</w:t>
            </w:r>
          </w:p>
        </w:tc>
        <w:tc>
          <w:tcPr>
            <w:tcW w:w="3472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39" w:lineRule="auto"/>
              <w:ind w:left="117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2025.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  <w:r>
              <w:rPr>
                <w:spacing w:val="-2"/>
              </w:rPr>
              <w:t>.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jc w:val="center"/>
        </w:trPr>
        <w:tc>
          <w:tcPr>
            <w:tcW w:w="2282" w:type="dxa"/>
          </w:tcPr>
          <w:p>
            <w:pPr>
              <w:pStyle w:val="TableText"/>
              <w:spacing w:before="171" w:line="219" w:lineRule="auto"/>
              <w:ind w:left="666"/>
            </w:pPr>
            <w:r>
              <w:rPr>
                <w:spacing w:val="-3"/>
              </w:rPr>
              <w:t>呈交部门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71" w:line="219" w:lineRule="auto"/>
              <w:ind w:left="69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70" w:line="224" w:lineRule="auto"/>
              <w:ind w:left="817"/>
            </w:pPr>
            <w:r>
              <w:rPr>
                <w:spacing w:val="-5"/>
              </w:rPr>
              <w:t>地点</w:t>
            </w:r>
          </w:p>
        </w:tc>
        <w:tc>
          <w:tcPr>
            <w:tcW w:w="3472" w:type="dxa"/>
            <w:vAlign w:val="center"/>
          </w:tcPr>
          <w:p>
            <w:pPr>
              <w:pStyle w:val="TableText"/>
              <w:spacing w:before="170" w:line="219" w:lineRule="auto"/>
              <w:ind w:left="122"/>
            </w:pPr>
            <w:r>
              <w:rPr>
                <w:spacing w:val="-4"/>
              </w:rPr>
              <w:t>公司会议室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/>
          <w:jc w:val="center"/>
        </w:trPr>
        <w:tc>
          <w:tcPr>
            <w:tcW w:w="2282" w:type="dxa"/>
          </w:tcPr>
          <w:p>
            <w:pPr>
              <w:pStyle w:val="TableText"/>
              <w:spacing w:before="188" w:line="220" w:lineRule="auto"/>
              <w:ind w:left="668"/>
            </w:pPr>
            <w:r>
              <w:rPr>
                <w:spacing w:val="-4"/>
              </w:rPr>
              <w:t>项目名称</w:t>
            </w:r>
          </w:p>
        </w:tc>
        <w:tc>
          <w:tcPr>
            <w:tcW w:w="7684" w:type="dxa"/>
            <w:gridSpan w:val="3"/>
            <w:vAlign w:val="center"/>
          </w:tcPr>
          <w:p>
            <w:pPr>
              <w:pStyle w:val="TableText"/>
              <w:spacing w:before="189" w:line="219" w:lineRule="auto"/>
              <w:ind w:left="701"/>
              <w:rPr>
                <w:rFonts w:ascii="Arial"/>
                <w:sz w:val="21"/>
              </w:rPr>
            </w:pPr>
            <w:r>
              <w:rPr>
                <w:rFonts w:hint="default"/>
                <w:lang w:val="en-US" w:eastAsia="zh-CN"/>
              </w:rPr>
              <w:t>临夏州中医医院“智慧银医”项</w:t>
            </w:r>
            <w:r>
              <w:rPr>
                <w:rFonts w:hint="eastAsia"/>
                <w:lang w:val="en-US" w:eastAsia="zh-CN"/>
              </w:rPr>
              <w:t>目</w:t>
            </w:r>
            <w:bookmarkStart w:id="0" w:name="_GoBack"/>
            <w:bookmarkEnd w:id="0"/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问题标题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统一支付平台与HIS系统对账同步机制缺陷导致异账频发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问题时间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2025年7月12日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问题来源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统一支付平台对账异常频发-事件处理单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影响范围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全院统一支付平台对账系统、财务结算流程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自7</w:t>
            </w:r>
            <w:r>
              <w:rPr>
                <w:rFonts w:eastAsia="宋体" w:hint="eastAsia"/>
                <w:lang w:val="en-US" w:eastAsia="zh-CN"/>
              </w:rPr>
              <w:t>月起，统一支付平台每日凌晨自动对账时，频繁出现平台账单与HIS系统账单不一致的情况（异账/单边账），涉及微信、支付宝等多渠道交易，导致财务人员需每日人工干预，严重影响对账效率与准确性。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问题影响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财务对账工作负担加重，易出错；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资金流与信息流不一致，存在财务风险；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影响医院智慧服务评级与患者资金信任度。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紧急程度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处理部门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是否升级为问题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解决时间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2025年7月12日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2025-07-15前完成日志分析与接口调用链路梳理；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2025-</w:t>
            </w:r>
            <w:r>
              <w:rPr>
                <w:rFonts w:hint="eastAsia"/>
                <w:lang w:val="en-US" w:eastAsia="zh-CN"/>
              </w:rPr>
              <w:t>07-15</w:t>
            </w:r>
            <w:r>
              <w:rPr>
                <w:rFonts w:hint="default"/>
                <w:lang w:val="en-US" w:eastAsia="zh-CN"/>
              </w:rPr>
              <w:t>前制定技术优化方案；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2025-07-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default"/>
                <w:lang w:val="en-US" w:eastAsia="zh-CN"/>
              </w:rPr>
              <w:t>前完成开发与测试；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2025-07-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default"/>
                <w:lang w:val="en-US" w:eastAsia="zh-CN"/>
              </w:rPr>
              <w:t>前上线验证并监控一周。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是否变更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问题改进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问题纳入系统持续性改进清单，后续结合“智慧银医”平台版本迭代进行优化</w:t>
            </w:r>
          </w:p>
        </w:tc>
      </w:tr>
    </w:tbl>
    <w:p>
      <w:pPr>
        <w:rPr>
          <w:rFonts w:ascii="Arial"/>
          <w:sz w:val="21"/>
        </w:rPr>
      </w:pPr>
    </w:p>
    <w:sectPr>
      <w:headerReference w:type="default" r:id="rId4"/>
      <w:footerReference w:type="default" r:id="rId5"/>
      <w:pgSz w:w="11906" w:h="16838"/>
      <w:pgMar w:top="1" w:right="1079" w:bottom="1210" w:left="1785" w:header="0" w:footer="993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421</Words>
  <Characters>477</Characters>
  <Application>Microsoft Office Word</Application>
  <DocSecurity>0</DocSecurity>
  <Lines>0</Lines>
  <Paragraphs>0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2025-08-21T06:31:00Z</dcterms:created>
  <dcterms:modified xsi:type="dcterms:W3CDTF">2026-01-04T01:12:11Z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