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rPr>
          <w:rFonts w:ascii="Arial"/>
          <w:sz w:val="21"/>
        </w:rPr>
      </w:pPr>
    </w:p>
    <w:p>
      <w:pPr>
        <w:spacing w:before="101" w:line="223" w:lineRule="auto"/>
        <w:ind w:left="3233"/>
        <w:outlineLvl w:val="0"/>
        <w:rPr>
          <w:rFonts w:ascii="宋体" w:eastAsia="宋体" w:hAnsi="宋体" w:cs="宋体" w:hint="default"/>
          <w:sz w:val="31"/>
          <w:szCs w:val="31"/>
          <w:lang w:val="en-US" w:eastAsia="zh-CN"/>
        </w:rPr>
      </w:pPr>
      <w:r>
        <w:rPr>
          <w:rFonts w:ascii="宋体" w:hAnsi="宋体" w:cs="宋体" w:hint="eastAsia"/>
          <w:b/>
          <w:bCs/>
          <w:spacing w:val="6"/>
          <w:sz w:val="31"/>
          <w:szCs w:val="31"/>
          <w:lang w:val="en-US" w:eastAsia="zh-CN"/>
        </w:rPr>
        <w:t>变更申请单</w:t>
      </w:r>
    </w:p>
    <w:tbl>
      <w:tblPr>
        <w:tblStyle w:val="TableNormal0"/>
        <w:tblW w:w="9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2110"/>
        <w:gridCol w:w="2102"/>
        <w:gridCol w:w="3472"/>
      </w:tblGrid>
      <w:tr>
        <w:tblPrEx>
          <w:tblW w:w="996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  <w:jc w:val="center"/>
        </w:trPr>
        <w:tc>
          <w:tcPr>
            <w:tcW w:w="2282" w:type="dxa"/>
          </w:tcPr>
          <w:p>
            <w:pPr>
              <w:pStyle w:val="TableText"/>
              <w:spacing w:before="189" w:line="219" w:lineRule="auto"/>
              <w:ind w:left="786"/>
            </w:pPr>
            <w:r>
              <w:rPr>
                <w:spacing w:val="-4"/>
              </w:rPr>
              <w:t>编制人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90" w:line="221" w:lineRule="auto"/>
              <w:ind w:left="829"/>
            </w:pPr>
            <w:r>
              <w:rPr>
                <w:spacing w:val="-11"/>
              </w:rPr>
              <w:t>时间</w:t>
            </w:r>
          </w:p>
        </w:tc>
        <w:tc>
          <w:tcPr>
            <w:tcW w:w="3472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39" w:lineRule="auto"/>
              <w:ind w:left="117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2025.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  <w:r>
              <w:rPr>
                <w:spacing w:val="-2"/>
              </w:rPr>
              <w:t>.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/>
          <w:jc w:val="center"/>
        </w:trPr>
        <w:tc>
          <w:tcPr>
            <w:tcW w:w="2282" w:type="dxa"/>
          </w:tcPr>
          <w:p>
            <w:pPr>
              <w:pStyle w:val="TableText"/>
              <w:spacing w:before="171" w:line="219" w:lineRule="auto"/>
              <w:ind w:left="666"/>
            </w:pPr>
            <w:r>
              <w:rPr>
                <w:spacing w:val="-3"/>
              </w:rPr>
              <w:t>呈交部门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71" w:line="219" w:lineRule="auto"/>
              <w:ind w:left="69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70" w:line="224" w:lineRule="auto"/>
              <w:ind w:left="817"/>
            </w:pPr>
            <w:r>
              <w:rPr>
                <w:spacing w:val="-5"/>
              </w:rPr>
              <w:t>地点</w:t>
            </w:r>
          </w:p>
        </w:tc>
        <w:tc>
          <w:tcPr>
            <w:tcW w:w="3472" w:type="dxa"/>
            <w:vAlign w:val="center"/>
          </w:tcPr>
          <w:p>
            <w:pPr>
              <w:pStyle w:val="TableText"/>
              <w:spacing w:before="170" w:line="219" w:lineRule="auto"/>
              <w:ind w:left="122"/>
            </w:pPr>
            <w:r>
              <w:rPr>
                <w:spacing w:val="-4"/>
              </w:rPr>
              <w:t>公司会议室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/>
          <w:jc w:val="center"/>
        </w:trPr>
        <w:tc>
          <w:tcPr>
            <w:tcW w:w="2282" w:type="dxa"/>
          </w:tcPr>
          <w:p>
            <w:pPr>
              <w:pStyle w:val="TableText"/>
              <w:spacing w:before="188" w:line="220" w:lineRule="auto"/>
              <w:ind w:left="668"/>
            </w:pPr>
            <w:r>
              <w:rPr>
                <w:spacing w:val="-4"/>
              </w:rPr>
              <w:t>项目名称</w:t>
            </w:r>
          </w:p>
        </w:tc>
        <w:tc>
          <w:tcPr>
            <w:tcW w:w="7684" w:type="dxa"/>
            <w:gridSpan w:val="3"/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ascii="Arial"/>
                <w:sz w:val="21"/>
              </w:rPr>
            </w:pPr>
            <w:r>
              <w:rPr>
                <w:rFonts w:hint="default"/>
                <w:lang w:val="en-US" w:eastAsia="zh-CN"/>
              </w:rPr>
              <w:t>临夏州中医医院“智慧银医”项</w:t>
            </w:r>
            <w:r>
              <w:rPr>
                <w:rFonts w:hint="eastAsia"/>
                <w:lang w:val="en-US" w:eastAsia="zh-CN"/>
              </w:rPr>
              <w:t>目</w:t>
            </w:r>
            <w:bookmarkStart w:id="0" w:name="_GoBack"/>
            <w:bookmarkEnd w:id="0"/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变更标题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统一支付平台对账同步机制优化项目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申请时间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2025年7月12日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变更来源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统一支付平台与HIS系统对账同步机制缺陷导致异账频发-问题处理单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变更事由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2025年7月起，统一支付平台在每日凌晨自动对账过程中，频繁出现平台账单与HIS系统账单不一致的情况（异账/单边账），涉及微信、支付宝等多渠道交易，导致财务人员需每日人工干预，严重影响对账效率与准确性，且存在财务资金对账风险。为从根本上解决该问题，提升系统自动化对账能力，特申请本项技术变更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变更内容概述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numPr>
                <w:ilvl w:val="0"/>
                <w:numId w:val="2"/>
              </w:numPr>
              <w:spacing w:before="183" w:line="219" w:lineRule="auto"/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对账触发机制优化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增加延迟补偿策略，支持对账任务自动重试。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优化平台与HIS系统账单拉取时间同步逻辑。</w:t>
            </w:r>
          </w:p>
          <w:p>
            <w:pPr>
              <w:pStyle w:val="TableText"/>
              <w:numPr>
                <w:ilvl w:val="0"/>
                <w:numId w:val="2"/>
              </w:numPr>
              <w:spacing w:before="183" w:line="219" w:lineRule="auto"/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交易标识一致性增强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统一支付平台与HIS系统间订单号映射机制。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增强异常交易匹配规则与日志记录。</w:t>
            </w:r>
          </w:p>
          <w:p>
            <w:pPr>
              <w:pStyle w:val="TableText"/>
              <w:numPr>
                <w:ilvl w:val="0"/>
                <w:numId w:val="2"/>
              </w:numPr>
              <w:spacing w:before="183" w:line="219" w:lineRule="auto"/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异常处理功能扩展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新增异常账单自动分类与告警机制。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支持财务人员半自动化处理差异账目。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变更影响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涉及统一支付平台对账模块、HIS系统接口服务，需更新部分服务配置与代码逻辑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对账流程将更自动化，财务人员人工干预量预计减少60%以上。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对账相关数据表结构小幅调整，不影响历史数据完整性与业务连续性。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计划于2025年7月21日凌晨00:30–01:00实施，期间对账服务暂停约30分钟。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变更计划</w:t>
            </w:r>
          </w:p>
        </w:tc>
        <w:tc>
          <w:tcPr>
            <w:tcW w:w="7684" w:type="dxa"/>
            <w:gridSpan w:val="3"/>
          </w:tcPr>
          <w:tbl>
            <w:tblPr>
              <w:tblStyle w:val="TableNormal"/>
              <w:tblW w:w="7623" w:type="dxa"/>
              <w:tblInd w:w="-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53"/>
              <w:gridCol w:w="1540"/>
              <w:gridCol w:w="4060"/>
              <w:gridCol w:w="970"/>
            </w:tblGrid>
            <w:tr>
              <w:tblPrEx>
                <w:tblW w:w="7623" w:type="dxa"/>
                <w:tblInd w:w="-5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shd w:val="clear" w:color="auto" w:fill="auto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053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阶段</w:t>
                  </w:r>
                </w:p>
              </w:tc>
              <w:tc>
                <w:tcPr>
                  <w:tcW w:w="154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时间安排</w:t>
                  </w:r>
                </w:p>
              </w:tc>
              <w:tc>
                <w:tcPr>
                  <w:tcW w:w="406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主要任务</w:t>
                  </w:r>
                </w:p>
              </w:tc>
              <w:tc>
                <w:tcPr>
                  <w:tcW w:w="97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责任方</w:t>
                  </w:r>
                </w:p>
              </w:tc>
            </w:tr>
            <w:tr>
              <w:tblPrEx>
                <w:tblW w:w="7623" w:type="dxa"/>
                <w:tblInd w:w="-5" w:type="dxa"/>
                <w:shd w:val="clear" w:color="auto" w:fill="auto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053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方案评审</w:t>
                  </w:r>
                </w:p>
              </w:tc>
              <w:tc>
                <w:tcPr>
                  <w:tcW w:w="154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2025.07.15前</w:t>
                  </w:r>
                </w:p>
              </w:tc>
              <w:tc>
                <w:tcPr>
                  <w:tcW w:w="406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组织技术方案内部评审，确认实施细节</w:t>
                  </w:r>
                </w:p>
              </w:tc>
              <w:tc>
                <w:tcPr>
                  <w:tcW w:w="97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研发部</w:t>
                  </w:r>
                </w:p>
              </w:tc>
            </w:tr>
            <w:tr>
              <w:tblPrEx>
                <w:tblW w:w="7623" w:type="dxa"/>
                <w:tblInd w:w="-5" w:type="dxa"/>
                <w:shd w:val="clear" w:color="auto" w:fill="auto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053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开发测试</w:t>
                  </w:r>
                </w:p>
              </w:tc>
              <w:tc>
                <w:tcPr>
                  <w:tcW w:w="154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2025.07.16–07.20</w:t>
                  </w:r>
                </w:p>
              </w:tc>
              <w:tc>
                <w:tcPr>
                  <w:tcW w:w="406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编码、单元测试、集成测试与业务验证</w:t>
                  </w:r>
                </w:p>
              </w:tc>
              <w:tc>
                <w:tcPr>
                  <w:tcW w:w="97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宋体" w:hAnsi="Segoe UI" w:cs="Segoe UI" w:hint="eastAsia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ascii="Segoe UI" w:eastAsia="宋体" w:hAnsi="Segoe UI" w:cs="Segoe UI" w:hint="eastAsia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lang w:val="en-US" w:eastAsia="zh-CN"/>
                    </w:rPr>
                    <w:t>研发部</w:t>
                  </w:r>
                </w:p>
              </w:tc>
            </w:tr>
            <w:tr>
              <w:tblPrEx>
                <w:tblW w:w="7623" w:type="dxa"/>
                <w:tblInd w:w="-5" w:type="dxa"/>
                <w:shd w:val="clear" w:color="auto" w:fill="auto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053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上线部署</w:t>
                  </w:r>
                </w:p>
              </w:tc>
              <w:tc>
                <w:tcPr>
                  <w:tcW w:w="154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2025.07.21</w:t>
                  </w:r>
                </w:p>
              </w:tc>
              <w:tc>
                <w:tcPr>
                  <w:tcW w:w="406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凌晨低峰期部署，同步执行健康检查与对账验证</w:t>
                  </w:r>
                </w:p>
              </w:tc>
              <w:tc>
                <w:tcPr>
                  <w:tcW w:w="97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运维部</w:t>
                  </w:r>
                </w:p>
              </w:tc>
            </w:tr>
            <w:tr>
              <w:tblPrEx>
                <w:tblW w:w="7623" w:type="dxa"/>
                <w:tblInd w:w="-5" w:type="dxa"/>
                <w:shd w:val="clear" w:color="auto" w:fill="auto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053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Strong"/>
                      <w:rFonts w:ascii="Segoe UI" w:eastAsia="Segoe UI" w:hAnsi="Segoe UI" w:cs="Segoe UI" w:hint="default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监控优化</w:t>
                  </w:r>
                </w:p>
              </w:tc>
              <w:tc>
                <w:tcPr>
                  <w:tcW w:w="154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2025.07.21–07.28</w:t>
                  </w:r>
                </w:p>
              </w:tc>
              <w:tc>
                <w:tcPr>
                  <w:tcW w:w="406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持续监控对账异常率，收集财务反馈并微调</w:t>
                  </w:r>
                </w:p>
              </w:tc>
              <w:tc>
                <w:tcPr>
                  <w:tcW w:w="970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eastAsia="宋体" w:hAnsi="Segoe UI" w:cs="Segoe UI" w:hint="eastAsia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ascii="Segoe UI" w:eastAsia="宋体" w:hAnsi="Segoe UI" w:cs="Segoe UI" w:hint="eastAsia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lang w:val="en-US" w:eastAsia="zh-CN"/>
                    </w:rPr>
                    <w:t>运维部</w:t>
                  </w:r>
                </w:p>
              </w:tc>
            </w:tr>
          </w:tbl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变更审批人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spacing w:val="-3"/>
              </w:rPr>
              <w:t>吴向阳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4"/>
      <w:footerReference w:type="default" r:id="rId5"/>
      <w:pgSz w:w="11906" w:h="16838"/>
      <w:pgMar w:top="1" w:right="1079" w:bottom="1210" w:left="1785" w:header="0" w:footer="993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1794C3"/>
    <w:multiLevelType w:val="singleLevel"/>
    <w:tmpl w:val="A51794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665</Words>
  <Characters>753</Characters>
  <Application>Microsoft Office Word</Application>
  <DocSecurity>0</DocSecurity>
  <Lines>0</Lines>
  <Paragraphs>0</Paragraphs>
  <ScaleCrop>false</ScaleCrop>
  <Company/>
  <LinksUpToDate>false</LinksUpToDate>
  <CharactersWithSpaces>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2025-08-21T06:31:00Z</dcterms:created>
  <dcterms:modified xsi:type="dcterms:W3CDTF">2026-01-04T01:12:16Z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